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5DF0" w14:textId="77777777" w:rsidR="00E67B82" w:rsidRPr="00A74D85" w:rsidRDefault="00E67B82" w:rsidP="00F5344B">
      <w:pPr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PRAVI FAKULTET UNIVERZITETA U SARAJEVU</w:t>
      </w:r>
    </w:p>
    <w:p w14:paraId="246DADCF" w14:textId="14A1C5F3" w:rsidR="00E67B82" w:rsidRPr="00A74D85" w:rsidRDefault="00772ED3" w:rsidP="00CC21E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OBLIGACIONO PRAVO II</w:t>
      </w:r>
      <w:r w:rsidR="00E67B82" w:rsidRPr="00A74D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67B82" w:rsidRPr="00A74D85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A74D85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A74D85">
        <w:rPr>
          <w:rFonts w:ascii="Times New Roman" w:hAnsi="Times New Roman" w:cs="Times New Roman"/>
          <w:b/>
          <w:sz w:val="24"/>
          <w:szCs w:val="24"/>
        </w:rPr>
        <w:tab/>
      </w:r>
      <w:r w:rsidR="00E67B82" w:rsidRPr="00A74D85">
        <w:rPr>
          <w:rFonts w:ascii="Times New Roman" w:hAnsi="Times New Roman" w:cs="Times New Roman"/>
          <w:b/>
          <w:sz w:val="24"/>
          <w:szCs w:val="24"/>
          <w:lang w:val="sl-SI"/>
        </w:rPr>
        <w:t>Ljetni semestar školske 20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20</w:t>
      </w:r>
      <w:r w:rsidR="00E67B82" w:rsidRPr="00A74D85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21</w:t>
      </w:r>
      <w:r w:rsidR="00E67B82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godine</w:t>
      </w:r>
    </w:p>
    <w:p w14:paraId="1EB1AE26" w14:textId="77777777" w:rsidR="00E67B82" w:rsidRPr="00A74D85" w:rsidRDefault="00E67B82" w:rsidP="00CC21E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172BA61" w14:textId="0AE2AC73" w:rsidR="00E67B82" w:rsidRPr="00A74D85" w:rsidRDefault="00CC21E9" w:rsidP="00CC21E9">
      <w:pPr>
        <w:pStyle w:val="Heading1"/>
        <w:spacing w:line="276" w:lineRule="auto"/>
        <w:jc w:val="both"/>
        <w:rPr>
          <w:rFonts w:ascii="Times New Roman" w:hAnsi="Times New Roman"/>
          <w:b/>
          <w:szCs w:val="24"/>
          <w:lang w:val="bs-Latn-BA"/>
        </w:rPr>
      </w:pPr>
      <w:r w:rsidRPr="00A74D85">
        <w:rPr>
          <w:rFonts w:ascii="Times New Roman" w:hAnsi="Times New Roman"/>
          <w:b/>
          <w:szCs w:val="24"/>
        </w:rPr>
        <w:t xml:space="preserve">Obavezni predmet </w:t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</w:r>
      <w:r w:rsidRPr="00A74D85">
        <w:rPr>
          <w:rFonts w:ascii="Times New Roman" w:hAnsi="Times New Roman"/>
          <w:b/>
          <w:szCs w:val="24"/>
        </w:rPr>
        <w:tab/>
        <w:t>ECTS 5</w:t>
      </w:r>
      <w:r w:rsidR="004E069B" w:rsidRPr="00A74D85">
        <w:rPr>
          <w:rFonts w:ascii="Times New Roman" w:hAnsi="Times New Roman"/>
          <w:b/>
          <w:szCs w:val="24"/>
        </w:rPr>
        <w:t xml:space="preserve"> </w:t>
      </w:r>
      <w:r w:rsidR="00926F90" w:rsidRPr="00A74D85">
        <w:rPr>
          <w:rFonts w:ascii="Times New Roman" w:hAnsi="Times New Roman"/>
          <w:b/>
          <w:szCs w:val="24"/>
          <w:lang w:val="bs-Latn-BA"/>
        </w:rPr>
        <w:t>+ 1 (SP)=6</w:t>
      </w:r>
    </w:p>
    <w:p w14:paraId="3C524908" w14:textId="20410299" w:rsidR="00E67B82" w:rsidRPr="00A74D85" w:rsidRDefault="00E67B82" w:rsidP="00772ED3">
      <w:pPr>
        <w:pStyle w:val="Heading2"/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A74D85">
        <w:rPr>
          <w:rFonts w:ascii="Times New Roman" w:hAnsi="Times New Roman"/>
          <w:szCs w:val="24"/>
        </w:rPr>
        <w:t xml:space="preserve">Odgovorni nastavnik: Prof. dr. </w:t>
      </w:r>
      <w:r w:rsidR="00772ED3" w:rsidRPr="00A74D85">
        <w:rPr>
          <w:rFonts w:ascii="Times New Roman" w:hAnsi="Times New Roman"/>
          <w:szCs w:val="24"/>
        </w:rPr>
        <w:t>Abedin Bikić/Prof. Dr. Almedina Šabić Učanbarlić</w:t>
      </w:r>
    </w:p>
    <w:p w14:paraId="3BC88828" w14:textId="77777777" w:rsidR="00E67B82" w:rsidRPr="00A74D85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14:paraId="171C2E9D" w14:textId="77777777" w:rsidR="00E67B82" w:rsidRPr="00A74D85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Kontakt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sati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sedmi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>č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no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ukupno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14:paraId="2F350CD6" w14:textId="5D7E5BA1" w:rsidR="00E67B82" w:rsidRPr="00A74D85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Predavanja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3/45       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Vje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>ž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be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="005E051D" w:rsidRPr="00A74D8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="005E051D" w:rsidRPr="00A74D85">
        <w:rPr>
          <w:rFonts w:ascii="Times New Roman" w:hAnsi="Times New Roman" w:cs="Times New Roman"/>
          <w:b/>
          <w:sz w:val="24"/>
          <w:szCs w:val="24"/>
          <w:lang w:val="hr-HR"/>
        </w:rPr>
        <w:t>15          Studentska praksa: 1/15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Konsultacije</w:t>
      </w:r>
      <w:r w:rsidRPr="00A74D85">
        <w:rPr>
          <w:rFonts w:ascii="Times New Roman" w:hAnsi="Times New Roman" w:cs="Times New Roman"/>
          <w:b/>
          <w:sz w:val="24"/>
          <w:szCs w:val="24"/>
          <w:lang w:val="hr-HR"/>
        </w:rPr>
        <w:t>: 5/75</w:t>
      </w:r>
    </w:p>
    <w:p w14:paraId="213A3261" w14:textId="77777777" w:rsidR="00E67B82" w:rsidRPr="00A74D85" w:rsidRDefault="00E67B82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14:paraId="2CD9C4BD" w14:textId="57803700" w:rsidR="00210228" w:rsidRPr="00A74D85" w:rsidRDefault="0000314E" w:rsidP="000031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1.</w:t>
      </w:r>
      <w:r w:rsidR="00727701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s</w:t>
      </w:r>
      <w:r w:rsidR="00CF579E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edmica 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(01.03.2021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/03.03.2021.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</w:p>
    <w:p w14:paraId="4DBC26A3" w14:textId="7AEFFC92" w:rsidR="00210228" w:rsidRDefault="00D1708F" w:rsidP="000031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Predavanja: </w:t>
      </w:r>
      <w:r w:rsidR="00782BAE" w:rsidRPr="00A74D85">
        <w:rPr>
          <w:rFonts w:ascii="Times New Roman" w:hAnsi="Times New Roman" w:cs="Times New Roman"/>
          <w:sz w:val="24"/>
          <w:szCs w:val="24"/>
          <w:lang w:val="sl-SI"/>
        </w:rPr>
        <w:t>Državni praznik</w:t>
      </w:r>
      <w:r w:rsidR="00772ED3" w:rsidRPr="00A74D85">
        <w:rPr>
          <w:rFonts w:ascii="Times New Roman" w:hAnsi="Times New Roman" w:cs="Times New Roman"/>
          <w:sz w:val="24"/>
          <w:szCs w:val="24"/>
          <w:lang w:val="sl-SI"/>
        </w:rPr>
        <w:t xml:space="preserve"> – Dan nezavisnosti</w:t>
      </w:r>
    </w:p>
    <w:p w14:paraId="63B96107" w14:textId="78D56BE2" w:rsidR="00D1708F" w:rsidRPr="00A74D85" w:rsidRDefault="00D1708F" w:rsidP="000031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Vježbe: Upoznavanje s tematikom i metodologijom rada na časovima vježbi.</w:t>
      </w:r>
    </w:p>
    <w:p w14:paraId="50AB7566" w14:textId="5C8838F7" w:rsidR="00E67B82" w:rsidRPr="00A74D85" w:rsidRDefault="00210228" w:rsidP="000031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2. sedmica (08.03</w:t>
      </w:r>
      <w:r w:rsidR="00EB041D" w:rsidRPr="00A74D85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2021.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/10.03.2021.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</w:p>
    <w:p w14:paraId="2B96CB7F" w14:textId="38C88C24" w:rsidR="00772ED3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Prouzrokovanje i naknada štete: Glava 1: Građanskopravna odgovornost; Glava 2: Prouzrokovanje štete; Glava 3: Razne vrste odgovornosti;</w:t>
      </w:r>
    </w:p>
    <w:p w14:paraId="00B516A7" w14:textId="01F322D7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</w:p>
    <w:p w14:paraId="4741BDCE" w14:textId="0005764C" w:rsidR="00981C2E" w:rsidRPr="00A74D85" w:rsidRDefault="00CF579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3. sedmica 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(15.03.2021</w:t>
      </w:r>
      <w:r w:rsidR="002D3538" w:rsidRPr="00A74D85">
        <w:rPr>
          <w:rFonts w:ascii="Times New Roman" w:hAnsi="Times New Roman" w:cs="Times New Roman"/>
          <w:b/>
          <w:sz w:val="24"/>
          <w:szCs w:val="24"/>
          <w:lang w:val="sl-SI"/>
        </w:rPr>
        <w:t>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/17.03.2021.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  <w:r w:rsidR="002D3538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67B82"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  <w:r w:rsidR="00E67B82" w:rsidRPr="00A74D85"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14:paraId="7E893DFF" w14:textId="77777777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Glava 4: Posebni slučajevi građanskopravne odgovornosti; Glava 5: Odgovornost više lica za istu štetu;</w:t>
      </w:r>
    </w:p>
    <w:p w14:paraId="3CFADE64" w14:textId="51042C16" w:rsidR="00E67B82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  <w:r w:rsidR="00E67B82" w:rsidRPr="00A74D85">
        <w:rPr>
          <w:rFonts w:ascii="Times New Roman" w:hAnsi="Times New Roman" w:cs="Times New Roman"/>
          <w:bCs/>
          <w:sz w:val="24"/>
          <w:szCs w:val="24"/>
          <w:lang w:val="sl-SI"/>
        </w:rPr>
        <w:tab/>
      </w:r>
      <w:r w:rsidR="00E67B82" w:rsidRPr="00A74D85">
        <w:rPr>
          <w:rFonts w:ascii="Times New Roman" w:hAnsi="Times New Roman" w:cs="Times New Roman"/>
          <w:bCs/>
          <w:sz w:val="24"/>
          <w:szCs w:val="24"/>
          <w:lang w:val="sl-SI"/>
        </w:rPr>
        <w:tab/>
      </w:r>
    </w:p>
    <w:p w14:paraId="0BA19463" w14:textId="398C7B57" w:rsidR="00F26520" w:rsidRPr="00A74D85" w:rsidRDefault="00CF579E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4. sedmica</w:t>
      </w:r>
      <w:r w:rsidR="00727701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(22.03.2021.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/24.03.2021.</w:t>
      </w:r>
      <w:r w:rsidR="00210228"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  <w:r w:rsidR="00C07346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14:paraId="106DBBBE" w14:textId="3FD5B233" w:rsidR="00772ED3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Glava 6: Naknada štete; Glava 7: Naknada štete u obliku novčane rente;</w:t>
      </w:r>
    </w:p>
    <w:p w14:paraId="0422121E" w14:textId="4D020512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</w:p>
    <w:p w14:paraId="311C0569" w14:textId="37496233" w:rsidR="00727701" w:rsidRPr="00A74D85" w:rsidRDefault="00210228" w:rsidP="0072770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5. sedmica (29</w:t>
      </w:r>
      <w:r w:rsidR="00727701" w:rsidRPr="00A74D85">
        <w:rPr>
          <w:rFonts w:ascii="Times New Roman" w:hAnsi="Times New Roman" w:cs="Times New Roman"/>
          <w:b/>
          <w:sz w:val="24"/>
          <w:szCs w:val="24"/>
          <w:lang w:val="sl-SI"/>
        </w:rPr>
        <w:t>.03.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2021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./31.03.2021.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  <w:r w:rsidR="00727701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14:paraId="51A41919" w14:textId="7C8EB4BE" w:rsidR="00772ED3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Glava 8: Naknada neimovinske štete; </w:t>
      </w:r>
    </w:p>
    <w:p w14:paraId="09B8DA28" w14:textId="4FE8B973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</w:p>
    <w:p w14:paraId="62819DDB" w14:textId="47293A39" w:rsidR="00A36CEF" w:rsidRPr="00A74D85" w:rsidRDefault="00CF579E" w:rsidP="00981C2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6. sedmica </w:t>
      </w:r>
      <w:r w:rsidR="00A36CEF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(05.04.2021.</w:t>
      </w:r>
      <w:r w:rsidR="00D1708F">
        <w:rPr>
          <w:rFonts w:ascii="Times New Roman" w:hAnsi="Times New Roman" w:cs="Times New Roman"/>
          <w:b/>
          <w:bCs/>
          <w:sz w:val="24"/>
          <w:szCs w:val="24"/>
          <w:lang w:val="sl-SI"/>
        </w:rPr>
        <w:t>/07.04.2021.</w:t>
      </w:r>
      <w:r w:rsidR="00772ED3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)</w:t>
      </w:r>
    </w:p>
    <w:p w14:paraId="71D8CFA6" w14:textId="0D12AE2D" w:rsidR="00A36CEF" w:rsidRDefault="00D1708F" w:rsidP="00981C2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FE509E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Predavanja: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</w:t>
      </w:r>
      <w:r w:rsidR="00A36CEF" w:rsidRPr="00A74D85">
        <w:rPr>
          <w:rFonts w:ascii="Times New Roman" w:hAnsi="Times New Roman" w:cs="Times New Roman"/>
          <w:bCs/>
          <w:sz w:val="24"/>
          <w:szCs w:val="24"/>
          <w:lang w:val="sl-SI"/>
        </w:rPr>
        <w:t>Dan bez nastave (Uskrs)</w:t>
      </w:r>
    </w:p>
    <w:p w14:paraId="20B0AB7F" w14:textId="1D0B6067" w:rsidR="00D1708F" w:rsidRPr="00A74D85" w:rsidRDefault="00D1708F" w:rsidP="00981C2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r w:rsidRPr="00FE509E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Vježbe:</w:t>
      </w:r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Nakanada neimovinske štete.</w:t>
      </w:r>
    </w:p>
    <w:p w14:paraId="2AB8AB87" w14:textId="0B3EF904" w:rsidR="00772ED3" w:rsidRPr="00A74D85" w:rsidRDefault="00A36CEF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7. sedmica (12.04.2021</w:t>
      </w:r>
      <w:r w:rsidR="00D1708F">
        <w:rPr>
          <w:rFonts w:ascii="Times New Roman" w:hAnsi="Times New Roman" w:cs="Times New Roman"/>
          <w:b/>
          <w:bCs/>
          <w:sz w:val="24"/>
          <w:szCs w:val="24"/>
          <w:lang w:val="sl-SI"/>
        </w:rPr>
        <w:t>/14.04.2021.</w:t>
      </w: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)</w:t>
      </w:r>
    </w:p>
    <w:p w14:paraId="5303F252" w14:textId="149846A9" w:rsidR="00772ED3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Ugovorna odgovornost za štetu;</w:t>
      </w:r>
    </w:p>
    <w:p w14:paraId="30DB8774" w14:textId="3A27769F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</w:p>
    <w:p w14:paraId="78FD4B63" w14:textId="099923ED" w:rsidR="00AD60AE" w:rsidRPr="00A74D85" w:rsidRDefault="00A36CEF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8</w:t>
      </w:r>
      <w:r w:rsidR="00AD60AE" w:rsidRPr="00A74D85">
        <w:rPr>
          <w:rFonts w:ascii="Times New Roman" w:hAnsi="Times New Roman" w:cs="Times New Roman"/>
          <w:b/>
          <w:sz w:val="24"/>
          <w:szCs w:val="24"/>
          <w:lang w:val="sl-SI"/>
        </w:rPr>
        <w:t>. sedmica (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19.04.2021.)</w:t>
      </w:r>
    </w:p>
    <w:p w14:paraId="55FDA7B0" w14:textId="37CB5BA3" w:rsidR="00A36CEF" w:rsidRPr="00A74D85" w:rsidRDefault="00772ED3" w:rsidP="00727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sz w:val="24"/>
          <w:szCs w:val="24"/>
          <w:lang w:val="sl-SI"/>
        </w:rPr>
        <w:t>Semestralna provjera znanja</w:t>
      </w:r>
    </w:p>
    <w:p w14:paraId="5CA35241" w14:textId="457942A2" w:rsidR="00727701" w:rsidRPr="00A74D85" w:rsidRDefault="00A36CEF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9. sedmica (26.04.2021.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/29.04.2021.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</w:p>
    <w:p w14:paraId="5FB94BBC" w14:textId="6844B591" w:rsidR="00772ED3" w:rsidRPr="00A74D85" w:rsidRDefault="00A74D85" w:rsidP="00A74D85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Predavanja: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Posebni ugovori obligacionog prava: Ugovor o prodaji;</w:t>
      </w:r>
    </w:p>
    <w:p w14:paraId="2EF66793" w14:textId="5346F96A" w:rsidR="00A74D85" w:rsidRPr="00A74D85" w:rsidRDefault="00A74D85" w:rsidP="00A74D85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>Vježbe: prate predavanja.</w:t>
      </w:r>
    </w:p>
    <w:p w14:paraId="6181E0E4" w14:textId="7CE90030" w:rsidR="00E67B82" w:rsidRPr="00A74D85" w:rsidRDefault="00A36CEF" w:rsidP="002222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10</w:t>
      </w:r>
      <w:r w:rsidR="0022226A" w:rsidRPr="00A74D85">
        <w:rPr>
          <w:rFonts w:ascii="Times New Roman" w:hAnsi="Times New Roman" w:cs="Times New Roman"/>
          <w:b/>
          <w:sz w:val="24"/>
          <w:szCs w:val="24"/>
          <w:lang w:val="sl-SI"/>
        </w:rPr>
        <w:t>. sedmica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(03.05.2021.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/05.05.2021.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</w:p>
    <w:p w14:paraId="406D79D2" w14:textId="2AF173B5" w:rsidR="00A36CEF" w:rsidRDefault="00D1708F" w:rsidP="002222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E509E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Predavanja: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A36CEF" w:rsidRPr="00A74D85">
        <w:rPr>
          <w:rFonts w:ascii="Times New Roman" w:hAnsi="Times New Roman" w:cs="Times New Roman"/>
          <w:b/>
          <w:sz w:val="24"/>
          <w:szCs w:val="24"/>
          <w:lang w:val="sl-SI"/>
        </w:rPr>
        <w:t>Državni praznik i Vaskrs</w:t>
      </w:r>
    </w:p>
    <w:p w14:paraId="0BF0ACE4" w14:textId="1F090EDE" w:rsidR="00D1708F" w:rsidRPr="00A74D85" w:rsidRDefault="00D1708F" w:rsidP="0022226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E509E">
        <w:rPr>
          <w:rFonts w:ascii="Times New Roman" w:hAnsi="Times New Roman" w:cs="Times New Roman"/>
          <w:bCs/>
          <w:sz w:val="24"/>
          <w:szCs w:val="24"/>
          <w:u w:val="single"/>
          <w:lang w:val="sl-SI"/>
        </w:rPr>
        <w:t>Vježbe: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Ugovor o prodaji.</w:t>
      </w:r>
    </w:p>
    <w:p w14:paraId="13E09017" w14:textId="446E22C2" w:rsidR="006C1F8A" w:rsidRPr="00A74D85" w:rsidRDefault="00A36CEF" w:rsidP="006C1F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11. sedmica (10.05.2021.</w:t>
      </w:r>
      <w:r w:rsidR="00D1708F">
        <w:rPr>
          <w:rFonts w:ascii="Times New Roman" w:hAnsi="Times New Roman" w:cs="Times New Roman"/>
          <w:b/>
          <w:sz w:val="24"/>
          <w:szCs w:val="24"/>
          <w:lang w:val="sl-SI"/>
        </w:rPr>
        <w:t>/</w:t>
      </w:r>
      <w:r w:rsidR="00FE509E">
        <w:rPr>
          <w:rFonts w:ascii="Times New Roman" w:hAnsi="Times New Roman" w:cs="Times New Roman"/>
          <w:b/>
          <w:sz w:val="24"/>
          <w:szCs w:val="24"/>
          <w:lang w:val="sl-SI"/>
        </w:rPr>
        <w:t>12.05.2021.</w:t>
      </w:r>
      <w:r w:rsidRPr="00A74D85">
        <w:rPr>
          <w:rFonts w:ascii="Times New Roman" w:hAnsi="Times New Roman" w:cs="Times New Roman"/>
          <w:b/>
          <w:sz w:val="24"/>
          <w:szCs w:val="24"/>
          <w:lang w:val="sl-SI"/>
        </w:rPr>
        <w:t>)</w:t>
      </w:r>
      <w:r w:rsidR="006C1F8A" w:rsidRPr="00A74D8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</w:p>
    <w:p w14:paraId="45032B8A" w14:textId="5179339D" w:rsidR="00772ED3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hr-BA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Predavanja: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</w:t>
      </w:r>
      <w:r w:rsidR="00772ED3" w:rsidRPr="00772ED3">
        <w:rPr>
          <w:rFonts w:ascii="Times New Roman" w:eastAsiaTheme="minorEastAsia" w:hAnsi="Times New Roman" w:cs="Times New Roman"/>
          <w:sz w:val="24"/>
          <w:szCs w:val="24"/>
          <w:lang w:val="hr-BA"/>
        </w:rPr>
        <w:t>Ugovor o zakupu;</w:t>
      </w:r>
    </w:p>
    <w:p w14:paraId="31BDE45B" w14:textId="494F06D1" w:rsidR="00A74D85" w:rsidRPr="00A74D85" w:rsidRDefault="00A74D85" w:rsidP="00772ED3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74D85">
        <w:rPr>
          <w:rFonts w:ascii="Times New Roman" w:eastAsiaTheme="minorEastAsia" w:hAnsi="Times New Roman" w:cs="Times New Roman"/>
          <w:sz w:val="24"/>
          <w:szCs w:val="24"/>
          <w:u w:val="single"/>
          <w:lang w:val="hr-BA"/>
        </w:rPr>
        <w:t>Vježbe:</w:t>
      </w:r>
      <w:r w:rsidRPr="00A74D85">
        <w:rPr>
          <w:rFonts w:ascii="Times New Roman" w:eastAsiaTheme="minorEastAsia" w:hAnsi="Times New Roman" w:cs="Times New Roman"/>
          <w:sz w:val="24"/>
          <w:szCs w:val="24"/>
          <w:lang w:val="hr-BA"/>
        </w:rPr>
        <w:t xml:space="preserve"> prate predavanja.</w:t>
      </w:r>
    </w:p>
    <w:p w14:paraId="1AA0D188" w14:textId="45A994C8" w:rsidR="00772ED3" w:rsidRPr="00A74D85" w:rsidRDefault="00727701" w:rsidP="0072770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12. sedmica </w:t>
      </w:r>
      <w:r w:rsidR="00A36CEF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(17.05.2021.</w:t>
      </w:r>
      <w:r w:rsidR="00FE509E">
        <w:rPr>
          <w:rFonts w:ascii="Times New Roman" w:hAnsi="Times New Roman" w:cs="Times New Roman"/>
          <w:b/>
          <w:bCs/>
          <w:sz w:val="24"/>
          <w:szCs w:val="24"/>
          <w:lang w:val="sl-SI"/>
        </w:rPr>
        <w:t>/19.05.2021.</w:t>
      </w:r>
      <w:r w:rsidR="00772ED3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)</w:t>
      </w:r>
    </w:p>
    <w:p w14:paraId="4D381476" w14:textId="50459C5F" w:rsidR="00727701" w:rsidRPr="00A74D85" w:rsidRDefault="00A74D85" w:rsidP="00727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sz w:val="24"/>
          <w:szCs w:val="24"/>
          <w:u w:val="single"/>
          <w:lang w:val="sl-SI"/>
        </w:rPr>
        <w:t>Predavanja:</w:t>
      </w:r>
      <w:r w:rsidRPr="00A74D85">
        <w:rPr>
          <w:rFonts w:ascii="Times New Roman" w:hAnsi="Times New Roman" w:cs="Times New Roman"/>
          <w:sz w:val="24"/>
          <w:szCs w:val="24"/>
          <w:lang w:val="sl-SI"/>
        </w:rPr>
        <w:t xml:space="preserve"> Ugovor o zajmu; Ugovor o posluzi;</w:t>
      </w:r>
    </w:p>
    <w:p w14:paraId="198CC713" w14:textId="4F911419" w:rsidR="00A74D85" w:rsidRPr="00A74D85" w:rsidRDefault="00A74D85" w:rsidP="007277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sz w:val="24"/>
          <w:szCs w:val="24"/>
          <w:u w:val="single"/>
          <w:lang w:val="sl-SI"/>
        </w:rPr>
        <w:t>Vježbe:</w:t>
      </w:r>
      <w:r w:rsidRPr="00A74D85">
        <w:rPr>
          <w:rFonts w:ascii="Times New Roman" w:hAnsi="Times New Roman" w:cs="Times New Roman"/>
          <w:sz w:val="24"/>
          <w:szCs w:val="24"/>
          <w:lang w:val="sl-SI"/>
        </w:rPr>
        <w:t xml:space="preserve"> Ugovor o poklonu.</w:t>
      </w:r>
    </w:p>
    <w:p w14:paraId="30B5E2AC" w14:textId="3824B2AF" w:rsidR="001B7CFA" w:rsidRPr="00A74D85" w:rsidRDefault="00081893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13. </w:t>
      </w:r>
      <w:r w:rsidR="001B7CFA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i 14. </w:t>
      </w: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sedmica</w:t>
      </w:r>
      <w:r w:rsidR="00A36CEF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(24.05.2021.</w:t>
      </w:r>
      <w:r w:rsidR="00FE509E">
        <w:rPr>
          <w:rFonts w:ascii="Times New Roman" w:hAnsi="Times New Roman" w:cs="Times New Roman"/>
          <w:b/>
          <w:bCs/>
          <w:sz w:val="24"/>
          <w:szCs w:val="24"/>
          <w:lang w:val="sl-SI"/>
        </w:rPr>
        <w:t>/26.05.2021.</w:t>
      </w:r>
      <w:r w:rsidR="001B7CFA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, 31.05.2021</w:t>
      </w:r>
      <w:r w:rsidR="00FE509E">
        <w:rPr>
          <w:rFonts w:ascii="Times New Roman" w:hAnsi="Times New Roman" w:cs="Times New Roman"/>
          <w:b/>
          <w:bCs/>
          <w:sz w:val="24"/>
          <w:szCs w:val="24"/>
          <w:lang w:val="sl-SI"/>
        </w:rPr>
        <w:t>/02.06.2021.</w:t>
      </w:r>
      <w:r w:rsidR="00A36CEF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)</w:t>
      </w:r>
      <w:r w:rsidR="001B7CFA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14:paraId="46894D65" w14:textId="54C1DB76" w:rsidR="00A74D85" w:rsidRPr="00A74D85" w:rsidRDefault="00A74D85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sz w:val="24"/>
          <w:szCs w:val="24"/>
          <w:u w:val="single"/>
          <w:lang w:val="sl-SI"/>
        </w:rPr>
        <w:t>Predavanja:</w:t>
      </w: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Ugovor o djelu; Ugovor o faktoringu;</w:t>
      </w:r>
    </w:p>
    <w:p w14:paraId="5ACD7EA1" w14:textId="0BBCF0C8" w:rsidR="00A74D85" w:rsidRPr="00A74D85" w:rsidRDefault="00A74D85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sz w:val="24"/>
          <w:szCs w:val="24"/>
          <w:u w:val="single"/>
          <w:lang w:val="sl-SI"/>
        </w:rPr>
        <w:t>Vježbe:</w:t>
      </w:r>
      <w:r w:rsidRPr="00A74D85"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  <w:t xml:space="preserve"> </w:t>
      </w:r>
      <w:r w:rsidRPr="00A74D85">
        <w:rPr>
          <w:rFonts w:ascii="Times New Roman" w:hAnsi="Times New Roman" w:cs="Times New Roman"/>
          <w:sz w:val="24"/>
          <w:szCs w:val="24"/>
          <w:lang w:val="sl-SI"/>
        </w:rPr>
        <w:t>Ugovor o ostavi; Ugovor o doživotnom izdržavanju;</w:t>
      </w:r>
    </w:p>
    <w:p w14:paraId="567D530F" w14:textId="5730C12A" w:rsidR="00034869" w:rsidRPr="00A74D85" w:rsidRDefault="00081893" w:rsidP="00CC21E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15. sed</w:t>
      </w:r>
      <w:r w:rsidR="00034869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mica </w:t>
      </w:r>
      <w:r w:rsidR="00A71729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>(07.06.2021.)</w:t>
      </w:r>
      <w:r w:rsidR="00034869" w:rsidRPr="00A74D85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14:paraId="0109272E" w14:textId="5AED1B5F" w:rsidR="00061E16" w:rsidRDefault="00A74D85" w:rsidP="00CC21E9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74D85">
        <w:rPr>
          <w:rFonts w:ascii="Times New Roman" w:hAnsi="Times New Roman" w:cs="Times New Roman"/>
          <w:bCs/>
          <w:iCs/>
          <w:sz w:val="24"/>
          <w:szCs w:val="24"/>
        </w:rPr>
        <w:t>Pripreme pred ispit</w:t>
      </w:r>
    </w:p>
    <w:p w14:paraId="553FF8D5" w14:textId="77777777" w:rsidR="00A74D85" w:rsidRPr="00A74D85" w:rsidRDefault="00A74D85" w:rsidP="00CC21E9">
      <w:pPr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A8B65D" w14:textId="2EDD333D" w:rsidR="00847AFA" w:rsidRPr="00A74D85" w:rsidRDefault="00A74D85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okviru studentske prakse studenti će vježbati sastavljanje ugovora i tužbi.</w:t>
      </w:r>
    </w:p>
    <w:p w14:paraId="50FC9E1C" w14:textId="77777777" w:rsidR="00A74D85" w:rsidRDefault="00A74D85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3EE2086" w14:textId="1239DDBF" w:rsidR="00F5344B" w:rsidRPr="00A74D85" w:rsidRDefault="00F5344B" w:rsidP="00CC21E9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4D85">
        <w:rPr>
          <w:rFonts w:ascii="Times New Roman" w:hAnsi="Times New Roman" w:cs="Times New Roman"/>
          <w:b/>
          <w:i/>
          <w:sz w:val="24"/>
          <w:szCs w:val="24"/>
        </w:rPr>
        <w:t>Obaveze studenata</w:t>
      </w:r>
    </w:p>
    <w:p w14:paraId="4E9C0BD5" w14:textId="3B90D38E" w:rsidR="00620FB6" w:rsidRPr="00A74D85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 xml:space="preserve">Redovni studenti su obavezni pohađati sve predviđene nastavne oblike rada (predavanja, vježbe, </w:t>
      </w:r>
      <w:r w:rsidR="00E17C34" w:rsidRPr="00A74D85">
        <w:rPr>
          <w:rFonts w:ascii="Times New Roman" w:hAnsi="Times New Roman" w:cs="Times New Roman"/>
          <w:sz w:val="24"/>
          <w:szCs w:val="24"/>
        </w:rPr>
        <w:t>studentska praksa</w:t>
      </w:r>
      <w:r w:rsidRPr="00A74D85">
        <w:rPr>
          <w:rFonts w:ascii="Times New Roman" w:hAnsi="Times New Roman" w:cs="Times New Roman"/>
          <w:sz w:val="24"/>
          <w:szCs w:val="24"/>
        </w:rPr>
        <w:t xml:space="preserve">). Znanje studenata kontinuirano se prati tokom semestra. </w:t>
      </w:r>
      <w:r w:rsidR="00A74D85">
        <w:rPr>
          <w:rFonts w:ascii="Times New Roman" w:hAnsi="Times New Roman" w:cs="Times New Roman"/>
          <w:sz w:val="24"/>
          <w:szCs w:val="24"/>
        </w:rPr>
        <w:t>Cilj jeste</w:t>
      </w:r>
      <w:r w:rsidRPr="00A74D85">
        <w:rPr>
          <w:rFonts w:ascii="Times New Roman" w:hAnsi="Times New Roman" w:cs="Times New Roman"/>
          <w:sz w:val="24"/>
          <w:szCs w:val="24"/>
        </w:rPr>
        <w:t xml:space="preserve"> interaktivno izvođenj nastave</w:t>
      </w:r>
      <w:r w:rsidR="00A74D85">
        <w:rPr>
          <w:rFonts w:ascii="Times New Roman" w:hAnsi="Times New Roman" w:cs="Times New Roman"/>
          <w:sz w:val="24"/>
          <w:szCs w:val="24"/>
        </w:rPr>
        <w:t>, te evidentiranje</w:t>
      </w:r>
      <w:r w:rsidRPr="00A74D85">
        <w:rPr>
          <w:rFonts w:ascii="Times New Roman" w:hAnsi="Times New Roman" w:cs="Times New Roman"/>
          <w:sz w:val="24"/>
          <w:szCs w:val="24"/>
        </w:rPr>
        <w:t xml:space="preserve"> aktivnost</w:t>
      </w:r>
      <w:r w:rsidR="00A74D85">
        <w:rPr>
          <w:rFonts w:ascii="Times New Roman" w:hAnsi="Times New Roman" w:cs="Times New Roman"/>
          <w:sz w:val="24"/>
          <w:szCs w:val="24"/>
        </w:rPr>
        <w:t>i</w:t>
      </w:r>
      <w:r w:rsidRPr="00A74D85">
        <w:rPr>
          <w:rFonts w:ascii="Times New Roman" w:hAnsi="Times New Roman" w:cs="Times New Roman"/>
          <w:sz w:val="24"/>
          <w:szCs w:val="24"/>
        </w:rPr>
        <w:t xml:space="preserve"> studenata na predavanjima i vježbama. U toku semestra provjera znanja se vrši putem </w:t>
      </w:r>
      <w:r w:rsidR="00A74D85">
        <w:rPr>
          <w:rFonts w:ascii="Times New Roman" w:hAnsi="Times New Roman" w:cs="Times New Roman"/>
          <w:sz w:val="24"/>
          <w:szCs w:val="24"/>
        </w:rPr>
        <w:t>semestralnog parcijalnog</w:t>
      </w:r>
      <w:r w:rsidR="005456AF"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="009F3ABF" w:rsidRPr="00A74D85">
        <w:rPr>
          <w:rFonts w:ascii="Times New Roman" w:hAnsi="Times New Roman" w:cs="Times New Roman"/>
          <w:sz w:val="24"/>
          <w:szCs w:val="24"/>
        </w:rPr>
        <w:t>ispita</w:t>
      </w:r>
      <w:r w:rsidRPr="00A74D85">
        <w:rPr>
          <w:rFonts w:ascii="Times New Roman" w:hAnsi="Times New Roman" w:cs="Times New Roman"/>
          <w:sz w:val="24"/>
          <w:szCs w:val="24"/>
        </w:rPr>
        <w:t xml:space="preserve">. Konačna ocjena se utvrđuje na završnom ispitu, a aktivnosti u nastavi učestvuju u procentu od </w:t>
      </w:r>
      <w:r w:rsidR="00A93BD0" w:rsidRPr="00A74D85">
        <w:rPr>
          <w:rFonts w:ascii="Times New Roman" w:hAnsi="Times New Roman" w:cs="Times New Roman"/>
          <w:sz w:val="24"/>
          <w:szCs w:val="24"/>
        </w:rPr>
        <w:t>5</w:t>
      </w:r>
      <w:r w:rsidRPr="00A74D85">
        <w:rPr>
          <w:rFonts w:ascii="Times New Roman" w:hAnsi="Times New Roman" w:cs="Times New Roman"/>
          <w:sz w:val="24"/>
          <w:szCs w:val="24"/>
        </w:rPr>
        <w:t>0% (</w:t>
      </w:r>
      <w:r w:rsidR="00A93BD0" w:rsidRPr="00A74D85">
        <w:rPr>
          <w:rFonts w:ascii="Times New Roman" w:hAnsi="Times New Roman" w:cs="Times New Roman"/>
          <w:sz w:val="24"/>
          <w:szCs w:val="24"/>
        </w:rPr>
        <w:t>10</w:t>
      </w:r>
      <w:r w:rsidRPr="00A74D85">
        <w:rPr>
          <w:rFonts w:ascii="Times New Roman" w:hAnsi="Times New Roman" w:cs="Times New Roman"/>
          <w:sz w:val="24"/>
          <w:szCs w:val="24"/>
        </w:rPr>
        <w:t>% aktivnost u nastavi,</w:t>
      </w:r>
      <w:r w:rsidR="00221742"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Pr="00A74D85">
        <w:rPr>
          <w:rFonts w:ascii="Times New Roman" w:hAnsi="Times New Roman" w:cs="Times New Roman"/>
          <w:sz w:val="24"/>
          <w:szCs w:val="24"/>
        </w:rPr>
        <w:t xml:space="preserve">40% </w:t>
      </w:r>
      <w:r w:rsidR="00A33C74" w:rsidRPr="00A74D85">
        <w:rPr>
          <w:rFonts w:ascii="Times New Roman" w:hAnsi="Times New Roman" w:cs="Times New Roman"/>
          <w:sz w:val="24"/>
          <w:szCs w:val="24"/>
        </w:rPr>
        <w:t>parcijalni</w:t>
      </w:r>
      <w:r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="00A33C74" w:rsidRPr="00A74D85">
        <w:rPr>
          <w:rFonts w:ascii="Times New Roman" w:hAnsi="Times New Roman" w:cs="Times New Roman"/>
          <w:sz w:val="24"/>
          <w:szCs w:val="24"/>
        </w:rPr>
        <w:t>ispit</w:t>
      </w:r>
      <w:r w:rsidRPr="00A74D85">
        <w:rPr>
          <w:rFonts w:ascii="Times New Roman" w:hAnsi="Times New Roman" w:cs="Times New Roman"/>
          <w:sz w:val="24"/>
          <w:szCs w:val="24"/>
        </w:rPr>
        <w:t>) u formiranju konačne ocjene.</w:t>
      </w:r>
      <w:r w:rsidR="006C1F8A"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Pr="00A74D85">
        <w:rPr>
          <w:rFonts w:ascii="Times New Roman" w:hAnsi="Times New Roman" w:cs="Times New Roman"/>
          <w:sz w:val="24"/>
          <w:szCs w:val="24"/>
        </w:rPr>
        <w:t>Završni ispit se pol</w:t>
      </w:r>
      <w:r w:rsidR="00CC21E9" w:rsidRPr="00A74D85">
        <w:rPr>
          <w:rFonts w:ascii="Times New Roman" w:hAnsi="Times New Roman" w:cs="Times New Roman"/>
          <w:sz w:val="24"/>
          <w:szCs w:val="24"/>
        </w:rPr>
        <w:t xml:space="preserve">aže </w:t>
      </w:r>
      <w:r w:rsidR="00A33C74" w:rsidRPr="00A74D85">
        <w:rPr>
          <w:rFonts w:ascii="Times New Roman" w:hAnsi="Times New Roman" w:cs="Times New Roman"/>
          <w:sz w:val="24"/>
          <w:szCs w:val="24"/>
        </w:rPr>
        <w:t>usmeno</w:t>
      </w:r>
      <w:r w:rsidR="00CC21E9" w:rsidRPr="00A74D85">
        <w:rPr>
          <w:rFonts w:ascii="Times New Roman" w:hAnsi="Times New Roman" w:cs="Times New Roman"/>
          <w:sz w:val="24"/>
          <w:szCs w:val="24"/>
        </w:rPr>
        <w:t>.</w:t>
      </w:r>
    </w:p>
    <w:p w14:paraId="7D55B23C" w14:textId="5DD1A461" w:rsidR="00F5344B" w:rsidRPr="00A74D85" w:rsidRDefault="00F5344B" w:rsidP="00CC21E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4D85">
        <w:rPr>
          <w:rFonts w:ascii="Times New Roman" w:hAnsi="Times New Roman" w:cs="Times New Roman"/>
          <w:b/>
          <w:i/>
          <w:sz w:val="24"/>
          <w:szCs w:val="24"/>
        </w:rPr>
        <w:t>Praćenja rada i ocjenjivanje studenata:</w:t>
      </w:r>
    </w:p>
    <w:p w14:paraId="5BA3A321" w14:textId="77777777" w:rsidR="00F5344B" w:rsidRPr="00A74D85" w:rsidRDefault="00F5344B" w:rsidP="00CC21E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>Redovni studenti</w:t>
      </w:r>
    </w:p>
    <w:p w14:paraId="2FB6023B" w14:textId="7A6AA9C8" w:rsidR="00F5344B" w:rsidRPr="00A74D85" w:rsidRDefault="009F3ABF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lastRenderedPageBreak/>
        <w:t>Parcijalni test</w:t>
      </w:r>
      <w:r w:rsidR="00F5344B" w:rsidRPr="00A74D85">
        <w:rPr>
          <w:rFonts w:ascii="Times New Roman" w:hAnsi="Times New Roman" w:cs="Times New Roman"/>
          <w:sz w:val="24"/>
          <w:szCs w:val="24"/>
        </w:rPr>
        <w:t>: 40% konačne ocjene (</w:t>
      </w:r>
      <w:r w:rsidR="00C0796F" w:rsidRPr="00A74D85">
        <w:rPr>
          <w:rFonts w:ascii="Times New Roman" w:hAnsi="Times New Roman" w:cs="Times New Roman"/>
          <w:sz w:val="24"/>
          <w:szCs w:val="24"/>
        </w:rPr>
        <w:t xml:space="preserve">što ukupno čini </w:t>
      </w:r>
      <w:r w:rsidR="00F5344B" w:rsidRPr="00A74D85">
        <w:rPr>
          <w:rFonts w:ascii="Times New Roman" w:hAnsi="Times New Roman" w:cs="Times New Roman"/>
          <w:sz w:val="24"/>
          <w:szCs w:val="24"/>
        </w:rPr>
        <w:t>40 bodova</w:t>
      </w:r>
      <w:r w:rsidR="00C0796F" w:rsidRPr="00A74D85">
        <w:rPr>
          <w:rFonts w:ascii="Times New Roman" w:hAnsi="Times New Roman" w:cs="Times New Roman"/>
          <w:sz w:val="24"/>
          <w:szCs w:val="24"/>
        </w:rPr>
        <w:t>/</w:t>
      </w:r>
      <w:r w:rsidR="000F22EC" w:rsidRPr="00A74D85">
        <w:rPr>
          <w:rFonts w:ascii="Times New Roman" w:hAnsi="Times New Roman" w:cs="Times New Roman"/>
          <w:sz w:val="24"/>
          <w:szCs w:val="24"/>
        </w:rPr>
        <w:t>2</w:t>
      </w:r>
      <w:r w:rsidR="00974255" w:rsidRPr="00A74D85">
        <w:rPr>
          <w:rFonts w:ascii="Times New Roman" w:hAnsi="Times New Roman" w:cs="Times New Roman"/>
          <w:sz w:val="24"/>
          <w:szCs w:val="24"/>
        </w:rPr>
        <w:t>,</w:t>
      </w:r>
      <w:r w:rsidR="00A93BD0" w:rsidRPr="00A74D85">
        <w:rPr>
          <w:rFonts w:ascii="Times New Roman" w:hAnsi="Times New Roman" w:cs="Times New Roman"/>
          <w:sz w:val="24"/>
          <w:szCs w:val="24"/>
        </w:rPr>
        <w:t>0</w:t>
      </w:r>
      <w:r w:rsidR="00CC21E9"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="00F5344B" w:rsidRPr="00A74D85">
        <w:rPr>
          <w:rFonts w:ascii="Times New Roman" w:hAnsi="Times New Roman" w:cs="Times New Roman"/>
          <w:sz w:val="24"/>
          <w:szCs w:val="24"/>
        </w:rPr>
        <w:t>ECTS)</w:t>
      </w:r>
    </w:p>
    <w:p w14:paraId="748051B8" w14:textId="4ABF3977" w:rsidR="00F5344B" w:rsidRPr="00A74D85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 xml:space="preserve">Aktivnost studenta u nastavi: 10% konačne ocjene (maksimalno </w:t>
      </w:r>
      <w:r w:rsidR="006C1F8A" w:rsidRPr="00A74D85">
        <w:rPr>
          <w:rFonts w:ascii="Times New Roman" w:hAnsi="Times New Roman" w:cs="Times New Roman"/>
          <w:sz w:val="24"/>
          <w:szCs w:val="24"/>
        </w:rPr>
        <w:t>10 bodova,</w:t>
      </w:r>
      <w:r w:rsidRPr="00A74D85">
        <w:rPr>
          <w:rFonts w:ascii="Times New Roman" w:hAnsi="Times New Roman" w:cs="Times New Roman"/>
          <w:sz w:val="24"/>
          <w:szCs w:val="24"/>
        </w:rPr>
        <w:t xml:space="preserve"> </w:t>
      </w:r>
      <w:r w:rsidR="001B10B6" w:rsidRPr="00A74D85">
        <w:rPr>
          <w:rFonts w:ascii="Times New Roman" w:hAnsi="Times New Roman" w:cs="Times New Roman"/>
          <w:sz w:val="24"/>
          <w:szCs w:val="24"/>
        </w:rPr>
        <w:t>0,</w:t>
      </w:r>
      <w:r w:rsidR="00A93BD0" w:rsidRPr="00A74D85">
        <w:rPr>
          <w:rFonts w:ascii="Times New Roman" w:hAnsi="Times New Roman" w:cs="Times New Roman"/>
          <w:sz w:val="24"/>
          <w:szCs w:val="24"/>
        </w:rPr>
        <w:t>5</w:t>
      </w:r>
      <w:r w:rsidRPr="00A74D85">
        <w:rPr>
          <w:rFonts w:ascii="Times New Roman" w:hAnsi="Times New Roman" w:cs="Times New Roman"/>
          <w:sz w:val="24"/>
          <w:szCs w:val="24"/>
        </w:rPr>
        <w:t xml:space="preserve"> ECTS) </w:t>
      </w:r>
    </w:p>
    <w:p w14:paraId="79CBFA33" w14:textId="69AF5DF5" w:rsidR="00F5344B" w:rsidRPr="00A74D85" w:rsidRDefault="00F5344B" w:rsidP="00CC21E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 xml:space="preserve">Završna provjera znanja: </w:t>
      </w:r>
      <w:r w:rsidR="006C1F8A" w:rsidRPr="00A74D85">
        <w:rPr>
          <w:rFonts w:ascii="Times New Roman" w:hAnsi="Times New Roman" w:cs="Times New Roman"/>
          <w:sz w:val="24"/>
          <w:szCs w:val="24"/>
        </w:rPr>
        <w:t>5</w:t>
      </w:r>
      <w:r w:rsidRPr="00A74D85">
        <w:rPr>
          <w:rFonts w:ascii="Times New Roman" w:hAnsi="Times New Roman" w:cs="Times New Roman"/>
          <w:sz w:val="24"/>
          <w:szCs w:val="24"/>
        </w:rPr>
        <w:t xml:space="preserve">0% konačne ocjene (maksimalno </w:t>
      </w:r>
      <w:r w:rsidR="006C1F8A" w:rsidRPr="00A74D85">
        <w:rPr>
          <w:rFonts w:ascii="Times New Roman" w:hAnsi="Times New Roman" w:cs="Times New Roman"/>
          <w:sz w:val="24"/>
          <w:szCs w:val="24"/>
        </w:rPr>
        <w:t>5</w:t>
      </w:r>
      <w:r w:rsidRPr="00A74D85">
        <w:rPr>
          <w:rFonts w:ascii="Times New Roman" w:hAnsi="Times New Roman" w:cs="Times New Roman"/>
          <w:sz w:val="24"/>
          <w:szCs w:val="24"/>
        </w:rPr>
        <w:t xml:space="preserve">0 bodova, </w:t>
      </w:r>
      <w:r w:rsidR="00A93BD0" w:rsidRPr="00A74D85">
        <w:rPr>
          <w:rFonts w:ascii="Times New Roman" w:hAnsi="Times New Roman" w:cs="Times New Roman"/>
          <w:sz w:val="24"/>
          <w:szCs w:val="24"/>
        </w:rPr>
        <w:t>2,5</w:t>
      </w:r>
      <w:r w:rsidRPr="00A74D85">
        <w:rPr>
          <w:rFonts w:ascii="Times New Roman" w:hAnsi="Times New Roman" w:cs="Times New Roman"/>
          <w:sz w:val="24"/>
          <w:szCs w:val="24"/>
        </w:rPr>
        <w:t xml:space="preserve"> ECTS)</w:t>
      </w:r>
    </w:p>
    <w:p w14:paraId="17DFF0C6" w14:textId="4144C394" w:rsidR="00A93BD0" w:rsidRPr="00A74D85" w:rsidRDefault="00A93BD0" w:rsidP="00A93BD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>Studentska praksa 1 ECTS</w:t>
      </w:r>
      <w:r w:rsidR="00A74D85">
        <w:rPr>
          <w:rFonts w:ascii="Times New Roman" w:hAnsi="Times New Roman" w:cs="Times New Roman"/>
          <w:sz w:val="24"/>
          <w:szCs w:val="24"/>
        </w:rPr>
        <w:t>.</w:t>
      </w:r>
    </w:p>
    <w:p w14:paraId="214A6832" w14:textId="77777777" w:rsidR="00CC21E9" w:rsidRPr="00A74D85" w:rsidRDefault="00CC21E9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C0EC5" w14:textId="479F3746" w:rsidR="00F5344B" w:rsidRDefault="005A14B3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b/>
          <w:sz w:val="24"/>
          <w:szCs w:val="24"/>
        </w:rPr>
        <w:t xml:space="preserve">Vanredni </w:t>
      </w:r>
      <w:r w:rsidR="00F5344B" w:rsidRPr="00A74D85">
        <w:rPr>
          <w:rFonts w:ascii="Times New Roman" w:hAnsi="Times New Roman" w:cs="Times New Roman"/>
          <w:b/>
          <w:sz w:val="24"/>
          <w:szCs w:val="24"/>
        </w:rPr>
        <w:t>studenti</w:t>
      </w:r>
    </w:p>
    <w:p w14:paraId="5482F2C6" w14:textId="3EA86C3F" w:rsidR="00D1708F" w:rsidRDefault="00D1708F" w:rsidP="00CC21E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E9BEA" w14:textId="5D23E842" w:rsidR="00D1708F" w:rsidRDefault="00D1708F" w:rsidP="00D1708F">
      <w:pPr>
        <w:pStyle w:val="ListParagraph"/>
        <w:widowControl w:val="0"/>
        <w:numPr>
          <w:ilvl w:val="0"/>
          <w:numId w:val="1"/>
        </w:numPr>
        <w:tabs>
          <w:tab w:val="left" w:pos="1156"/>
          <w:tab w:val="left" w:pos="1157"/>
        </w:tabs>
        <w:autoSpaceDE w:val="0"/>
        <w:autoSpaceDN w:val="0"/>
        <w:spacing w:after="0" w:line="360" w:lineRule="auto"/>
        <w:ind w:right="238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sz w:val="24"/>
        </w:rPr>
        <w:t>V</w:t>
      </w:r>
      <w:r w:rsidRPr="00D1708F">
        <w:rPr>
          <w:rFonts w:ascii="Times New Roman" w:hAnsi="Times New Roman" w:cs="Times New Roman"/>
          <w:sz w:val="24"/>
        </w:rPr>
        <w:t>anredni studenti imaju pravo polagati semestralnu provjeru znanja neuslovljeno</w:t>
      </w:r>
      <w:r>
        <w:rPr>
          <w:rFonts w:ascii="Times New Roman" w:hAnsi="Times New Roman" w:cs="Times New Roman"/>
          <w:sz w:val="24"/>
        </w:rPr>
        <w:t>.</w:t>
      </w:r>
      <w:r w:rsidRPr="00D1708F">
        <w:rPr>
          <w:rFonts w:ascii="Times New Roman" w:hAnsi="Times New Roman" w:cs="Times New Roman"/>
          <w:sz w:val="24"/>
        </w:rPr>
        <w:t xml:space="preserve"> </w:t>
      </w:r>
    </w:p>
    <w:p w14:paraId="0D5E224C" w14:textId="45922583" w:rsidR="00D1708F" w:rsidRPr="00D1708F" w:rsidRDefault="00D1708F" w:rsidP="00D1708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>Studentska praksa u fondu od minimalno 5 sati organizirane studentske prakse ili, u slučaju studenata u radnom odnosu, u okviru radnog odnosa, uz potvrdu o radnom odnosu i aktivnost na nastavi</w:t>
      </w:r>
    </w:p>
    <w:p w14:paraId="12B5DDE5" w14:textId="7B2F136B" w:rsidR="00D1708F" w:rsidRPr="00A74D85" w:rsidRDefault="00D1708F" w:rsidP="00D1708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provjera znanja.</w:t>
      </w:r>
    </w:p>
    <w:p w14:paraId="22643587" w14:textId="77777777" w:rsidR="00F5344B" w:rsidRPr="00A74D85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634B0" w14:textId="77777777" w:rsidR="00F5344B" w:rsidRPr="00A74D85" w:rsidRDefault="00F5344B" w:rsidP="00CC2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D85">
        <w:rPr>
          <w:rFonts w:ascii="Times New Roman" w:hAnsi="Times New Roman" w:cs="Times New Roman"/>
          <w:sz w:val="24"/>
          <w:szCs w:val="24"/>
        </w:rPr>
        <w:t>Konačna ocjena se izračunava sabiranjem bodova postignutih u svim segmentima ocjenjivanja. Ocjena se formira prema slijedećoj skali: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7394"/>
      </w:tblGrid>
      <w:tr w:rsidR="00F5344B" w:rsidRPr="00A74D85" w14:paraId="547F8F0F" w14:textId="77777777" w:rsidTr="00B00A53">
        <w:tc>
          <w:tcPr>
            <w:tcW w:w="1442" w:type="dxa"/>
          </w:tcPr>
          <w:p w14:paraId="61002A10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Ocjena</w:t>
            </w:r>
          </w:p>
        </w:tc>
        <w:tc>
          <w:tcPr>
            <w:tcW w:w="7394" w:type="dxa"/>
          </w:tcPr>
          <w:p w14:paraId="5E5A97D4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Bodovi</w:t>
            </w:r>
          </w:p>
        </w:tc>
      </w:tr>
      <w:tr w:rsidR="00F5344B" w:rsidRPr="00A74D85" w14:paraId="6CBB5E42" w14:textId="77777777" w:rsidTr="00B00A53">
        <w:tc>
          <w:tcPr>
            <w:tcW w:w="1442" w:type="dxa"/>
          </w:tcPr>
          <w:p w14:paraId="3CA013A2" w14:textId="77777777" w:rsidR="00F5344B" w:rsidRPr="00A74D85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10 (A)</w:t>
            </w:r>
          </w:p>
        </w:tc>
        <w:tc>
          <w:tcPr>
            <w:tcW w:w="7394" w:type="dxa"/>
          </w:tcPr>
          <w:p w14:paraId="641DF7E1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95 – 100 (izuzetan uspjeh bez grešaka ili sa neznatnim greškama)</w:t>
            </w:r>
          </w:p>
        </w:tc>
      </w:tr>
      <w:tr w:rsidR="00F5344B" w:rsidRPr="00A74D85" w14:paraId="62050A28" w14:textId="77777777" w:rsidTr="00B00A53">
        <w:tc>
          <w:tcPr>
            <w:tcW w:w="1442" w:type="dxa"/>
          </w:tcPr>
          <w:p w14:paraId="6B1BFCEA" w14:textId="77777777" w:rsidR="00F5344B" w:rsidRPr="00A74D85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9 (B)</w:t>
            </w:r>
          </w:p>
        </w:tc>
        <w:tc>
          <w:tcPr>
            <w:tcW w:w="7394" w:type="dxa"/>
          </w:tcPr>
          <w:p w14:paraId="2BC28F6D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85 – 94 (iznad prosjeka sa ponekom greškom)</w:t>
            </w:r>
          </w:p>
        </w:tc>
      </w:tr>
      <w:tr w:rsidR="00F5344B" w:rsidRPr="00A74D85" w14:paraId="38E8E62B" w14:textId="77777777" w:rsidTr="00B00A53">
        <w:tc>
          <w:tcPr>
            <w:tcW w:w="1442" w:type="dxa"/>
          </w:tcPr>
          <w:p w14:paraId="76639E42" w14:textId="77777777" w:rsidR="00F5344B" w:rsidRPr="00A74D85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8 (C)</w:t>
            </w:r>
          </w:p>
        </w:tc>
        <w:tc>
          <w:tcPr>
            <w:tcW w:w="7394" w:type="dxa"/>
          </w:tcPr>
          <w:p w14:paraId="66BB423C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75 – 84 (prosječan sa primjetnim greškama)</w:t>
            </w:r>
          </w:p>
        </w:tc>
      </w:tr>
      <w:tr w:rsidR="00F5344B" w:rsidRPr="00A74D85" w14:paraId="4B878357" w14:textId="77777777" w:rsidTr="00B00A53">
        <w:tc>
          <w:tcPr>
            <w:tcW w:w="1442" w:type="dxa"/>
          </w:tcPr>
          <w:p w14:paraId="59D2C873" w14:textId="77777777" w:rsidR="00F5344B" w:rsidRPr="00A74D85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7 (D)</w:t>
            </w:r>
          </w:p>
        </w:tc>
        <w:tc>
          <w:tcPr>
            <w:tcW w:w="7394" w:type="dxa"/>
          </w:tcPr>
          <w:p w14:paraId="0660D2E6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65 – 74 (općenito dobar ali sa značajnim nedostacima)</w:t>
            </w:r>
          </w:p>
        </w:tc>
      </w:tr>
      <w:tr w:rsidR="00F5344B" w:rsidRPr="00A74D85" w14:paraId="6EC89B7B" w14:textId="77777777" w:rsidTr="00B00A53">
        <w:tc>
          <w:tcPr>
            <w:tcW w:w="1442" w:type="dxa"/>
          </w:tcPr>
          <w:p w14:paraId="28C68CE1" w14:textId="77777777" w:rsidR="00F5344B" w:rsidRPr="00A74D85" w:rsidRDefault="00F5344B" w:rsidP="00CC21E9">
            <w:pPr>
              <w:tabs>
                <w:tab w:val="left" w:pos="255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6 (E)</w:t>
            </w:r>
          </w:p>
        </w:tc>
        <w:tc>
          <w:tcPr>
            <w:tcW w:w="7394" w:type="dxa"/>
          </w:tcPr>
          <w:p w14:paraId="64175945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55 – 64 (zadovoljava minimalne uslove)</w:t>
            </w:r>
          </w:p>
        </w:tc>
      </w:tr>
      <w:tr w:rsidR="00F5344B" w:rsidRPr="00A74D85" w14:paraId="1CCD1346" w14:textId="77777777" w:rsidTr="00B00A53">
        <w:tc>
          <w:tcPr>
            <w:tcW w:w="1442" w:type="dxa"/>
          </w:tcPr>
          <w:p w14:paraId="2101C1B6" w14:textId="77777777" w:rsidR="00F5344B" w:rsidRPr="00A74D85" w:rsidRDefault="00F5344B" w:rsidP="00CC21E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5 (F,FX)</w:t>
            </w:r>
          </w:p>
        </w:tc>
        <w:tc>
          <w:tcPr>
            <w:tcW w:w="7394" w:type="dxa"/>
          </w:tcPr>
          <w:p w14:paraId="5B7118B1" w14:textId="77777777" w:rsidR="00F5344B" w:rsidRPr="00A74D85" w:rsidRDefault="00F5344B" w:rsidP="00CC21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D85">
              <w:rPr>
                <w:sz w:val="24"/>
                <w:szCs w:val="24"/>
              </w:rPr>
              <w:t>Manje od 55 (ne zadovoljava minimalne uslove)</w:t>
            </w:r>
          </w:p>
        </w:tc>
      </w:tr>
    </w:tbl>
    <w:p w14:paraId="02691729" w14:textId="77777777" w:rsidR="00F5344B" w:rsidRPr="00A74D85" w:rsidRDefault="00F5344B" w:rsidP="00CC21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D60C0E" w14:textId="77777777" w:rsidR="00D1708F" w:rsidRPr="00D1708F" w:rsidRDefault="00D1708F" w:rsidP="00D1708F">
      <w:pPr>
        <w:pStyle w:val="Heading2"/>
        <w:rPr>
          <w:rFonts w:ascii="Times New Roman" w:hAnsi="Times New Roman"/>
          <w:u w:val="thick"/>
        </w:rPr>
      </w:pPr>
      <w:r w:rsidRPr="00D1708F">
        <w:rPr>
          <w:rFonts w:ascii="Times New Roman" w:hAnsi="Times New Roman"/>
          <w:u w:val="thick"/>
        </w:rPr>
        <w:t>OBLIGACIONO PRAVO II</w:t>
      </w:r>
    </w:p>
    <w:p w14:paraId="75DA20CD" w14:textId="77777777" w:rsidR="00D1708F" w:rsidRDefault="00D1708F" w:rsidP="00D1708F">
      <w:pPr>
        <w:rPr>
          <w:b/>
          <w:sz w:val="24"/>
        </w:rPr>
      </w:pPr>
    </w:p>
    <w:p w14:paraId="1C16FB8D" w14:textId="589561EA" w:rsidR="00D1708F" w:rsidRPr="00D1708F" w:rsidRDefault="00D1708F" w:rsidP="00D1708F">
      <w:pPr>
        <w:rPr>
          <w:rFonts w:ascii="Times New Roman" w:hAnsi="Times New Roman" w:cs="Times New Roman"/>
          <w:b/>
          <w:sz w:val="24"/>
        </w:rPr>
      </w:pPr>
      <w:r w:rsidRPr="00D1708F">
        <w:rPr>
          <w:rFonts w:ascii="Times New Roman" w:hAnsi="Times New Roman" w:cs="Times New Roman"/>
          <w:b/>
          <w:sz w:val="24"/>
        </w:rPr>
        <w:t>Obavezna literatura:</w:t>
      </w:r>
    </w:p>
    <w:p w14:paraId="38BD074C" w14:textId="77777777" w:rsidR="00D1708F" w:rsidRPr="00D1708F" w:rsidRDefault="00D1708F" w:rsidP="00D1708F">
      <w:pPr>
        <w:pStyle w:val="BodyText"/>
        <w:spacing w:before="175" w:line="254" w:lineRule="auto"/>
        <w:ind w:left="436" w:right="509"/>
        <w:jc w:val="both"/>
        <w:rPr>
          <w:rFonts w:ascii="Times New Roman" w:hAnsi="Times New Roman" w:cs="Times New Roman"/>
        </w:rPr>
      </w:pPr>
      <w:r w:rsidRPr="00D1708F">
        <w:rPr>
          <w:rFonts w:ascii="Times New Roman" w:hAnsi="Times New Roman" w:cs="Times New Roman"/>
          <w:i/>
        </w:rPr>
        <w:t>Bikić, Abedin</w:t>
      </w:r>
      <w:r w:rsidRPr="00D1708F">
        <w:rPr>
          <w:rFonts w:ascii="Times New Roman" w:hAnsi="Times New Roman" w:cs="Times New Roman"/>
        </w:rPr>
        <w:t>, Obligaciono pravo – Opći dio, Pravni fakultet Sarajevo, Sarajevo, 2013. godine;</w:t>
      </w:r>
    </w:p>
    <w:p w14:paraId="46CDB57E" w14:textId="77777777" w:rsidR="00D1708F" w:rsidRPr="00D1708F" w:rsidRDefault="00D1708F" w:rsidP="00D1708F">
      <w:pPr>
        <w:spacing w:before="164" w:line="254" w:lineRule="auto"/>
        <w:ind w:left="436" w:right="509"/>
        <w:jc w:val="both"/>
        <w:rPr>
          <w:rFonts w:ascii="Times New Roman" w:hAnsi="Times New Roman" w:cs="Times New Roman"/>
          <w:sz w:val="24"/>
        </w:rPr>
      </w:pPr>
      <w:r w:rsidRPr="00D1708F">
        <w:rPr>
          <w:rFonts w:ascii="Times New Roman" w:hAnsi="Times New Roman" w:cs="Times New Roman"/>
          <w:i/>
          <w:sz w:val="24"/>
        </w:rPr>
        <w:t>Bikić Abedin/Bikić, Enes</w:t>
      </w:r>
      <w:r w:rsidRPr="00D1708F">
        <w:rPr>
          <w:rFonts w:ascii="Times New Roman" w:hAnsi="Times New Roman" w:cs="Times New Roman"/>
          <w:sz w:val="24"/>
        </w:rPr>
        <w:t>, Obligaciono pravo – Posebni dio, Pravni fakultet Sarajevo, Sarajevo, 2010. godine;</w:t>
      </w:r>
    </w:p>
    <w:p w14:paraId="5CB8762B" w14:textId="77777777" w:rsidR="00D1708F" w:rsidRPr="00D1708F" w:rsidRDefault="00D1708F" w:rsidP="00D1708F">
      <w:pPr>
        <w:pStyle w:val="BodyText"/>
        <w:spacing w:before="164"/>
        <w:ind w:left="436"/>
        <w:jc w:val="both"/>
        <w:rPr>
          <w:rFonts w:ascii="Times New Roman" w:hAnsi="Times New Roman" w:cs="Times New Roman"/>
        </w:rPr>
      </w:pPr>
      <w:r w:rsidRPr="00D1708F">
        <w:rPr>
          <w:rFonts w:ascii="Times New Roman" w:hAnsi="Times New Roman" w:cs="Times New Roman"/>
          <w:i/>
        </w:rPr>
        <w:t>Bikić, Abedin</w:t>
      </w:r>
      <w:r w:rsidRPr="00D1708F">
        <w:rPr>
          <w:rFonts w:ascii="Times New Roman" w:hAnsi="Times New Roman" w:cs="Times New Roman"/>
        </w:rPr>
        <w:t>, Naknada štete, Pravni fakultet Sarajevo, Sarajevo, 2010. godine;</w:t>
      </w:r>
    </w:p>
    <w:p w14:paraId="60663ADA" w14:textId="4A469EE6" w:rsidR="00D1708F" w:rsidRPr="00D1708F" w:rsidRDefault="00D1708F" w:rsidP="00D1708F">
      <w:pPr>
        <w:spacing w:before="177" w:line="256" w:lineRule="auto"/>
        <w:ind w:left="436" w:right="63"/>
        <w:jc w:val="both"/>
        <w:rPr>
          <w:rFonts w:ascii="Times New Roman" w:hAnsi="Times New Roman" w:cs="Times New Roman"/>
          <w:sz w:val="24"/>
        </w:rPr>
      </w:pPr>
      <w:r w:rsidRPr="00D1708F">
        <w:rPr>
          <w:rFonts w:ascii="Times New Roman" w:hAnsi="Times New Roman" w:cs="Times New Roman"/>
          <w:i/>
          <w:sz w:val="24"/>
        </w:rPr>
        <w:t>Bikić, Abedin/Bikić, Enes/Šabić, Almedina</w:t>
      </w:r>
      <w:r w:rsidRPr="00D1708F">
        <w:rPr>
          <w:rFonts w:ascii="Times New Roman" w:hAnsi="Times New Roman" w:cs="Times New Roman"/>
          <w:sz w:val="24"/>
        </w:rPr>
        <w:t>, Kako riješiti obligacionopravni slučaj – Praktikum za obligaciono pravo, Pravni fakultet Sarajevo, Sarajevo, 2011. godine.</w:t>
      </w:r>
    </w:p>
    <w:p w14:paraId="124ABF30" w14:textId="77777777" w:rsidR="00D1708F" w:rsidRPr="00D1708F" w:rsidRDefault="00D1708F" w:rsidP="00D1708F">
      <w:pPr>
        <w:spacing w:before="177" w:line="256" w:lineRule="auto"/>
        <w:ind w:left="436" w:right="63"/>
        <w:jc w:val="both"/>
        <w:rPr>
          <w:rFonts w:ascii="Times New Roman" w:hAnsi="Times New Roman" w:cs="Times New Roman"/>
          <w:sz w:val="24"/>
        </w:rPr>
      </w:pPr>
    </w:p>
    <w:p w14:paraId="3CE6613B" w14:textId="0B268919" w:rsidR="00D1708F" w:rsidRPr="00D1708F" w:rsidRDefault="00D1708F" w:rsidP="00D1708F">
      <w:pPr>
        <w:pStyle w:val="Heading2"/>
        <w:spacing w:before="160"/>
        <w:jc w:val="both"/>
        <w:rPr>
          <w:rFonts w:ascii="Times New Roman" w:hAnsi="Times New Roman"/>
        </w:rPr>
      </w:pPr>
      <w:r w:rsidRPr="00D1708F">
        <w:rPr>
          <w:rFonts w:ascii="Times New Roman" w:hAnsi="Times New Roman"/>
        </w:rPr>
        <w:t>Spisak preporučene literature:</w:t>
      </w:r>
    </w:p>
    <w:p w14:paraId="6D2CDC23" w14:textId="77777777" w:rsidR="00D1708F" w:rsidRPr="00D1708F" w:rsidRDefault="00D1708F" w:rsidP="00D1708F">
      <w:pPr>
        <w:spacing w:before="173" w:line="256" w:lineRule="auto"/>
        <w:ind w:left="436"/>
        <w:jc w:val="both"/>
        <w:rPr>
          <w:rFonts w:ascii="Times New Roman" w:hAnsi="Times New Roman" w:cs="Times New Roman"/>
          <w:sz w:val="24"/>
        </w:rPr>
      </w:pPr>
      <w:r w:rsidRPr="00D1708F">
        <w:rPr>
          <w:rFonts w:ascii="Times New Roman" w:hAnsi="Times New Roman" w:cs="Times New Roman"/>
          <w:i/>
          <w:sz w:val="24"/>
        </w:rPr>
        <w:t>Loza, Bogdan/Misita, Nevenko</w:t>
      </w:r>
      <w:r w:rsidRPr="00D1708F">
        <w:rPr>
          <w:rFonts w:ascii="Times New Roman" w:hAnsi="Times New Roman" w:cs="Times New Roman"/>
          <w:sz w:val="24"/>
        </w:rPr>
        <w:t>, Obligaciono pravo, Opšti dio, Sarajevo, izdanja poslije 1987. godine;</w:t>
      </w:r>
    </w:p>
    <w:p w14:paraId="6D062465" w14:textId="77777777" w:rsidR="00D1708F" w:rsidRPr="00D1708F" w:rsidRDefault="00D1708F" w:rsidP="00D1708F">
      <w:pPr>
        <w:spacing w:before="158" w:line="256" w:lineRule="auto"/>
        <w:ind w:left="436" w:right="238"/>
        <w:jc w:val="both"/>
        <w:rPr>
          <w:rFonts w:ascii="Times New Roman" w:hAnsi="Times New Roman" w:cs="Times New Roman"/>
          <w:sz w:val="24"/>
        </w:rPr>
      </w:pPr>
      <w:r w:rsidRPr="00D1708F">
        <w:rPr>
          <w:rFonts w:ascii="Times New Roman" w:hAnsi="Times New Roman" w:cs="Times New Roman"/>
          <w:i/>
          <w:sz w:val="24"/>
        </w:rPr>
        <w:lastRenderedPageBreak/>
        <w:t>Loza, Bogdan/Misita, Nevenko</w:t>
      </w:r>
      <w:r w:rsidRPr="00D1708F">
        <w:rPr>
          <w:rFonts w:ascii="Times New Roman" w:hAnsi="Times New Roman" w:cs="Times New Roman"/>
          <w:sz w:val="24"/>
        </w:rPr>
        <w:t>, Obligaciono pravo, Posebni dio, Sarajevo, izdanja poslije 1987. godine;</w:t>
      </w:r>
    </w:p>
    <w:p w14:paraId="1FAF364C" w14:textId="77777777" w:rsidR="00D1708F" w:rsidRPr="00D1708F" w:rsidRDefault="00D1708F" w:rsidP="00D1708F">
      <w:pPr>
        <w:pStyle w:val="BodyText"/>
        <w:spacing w:before="158"/>
        <w:ind w:left="436"/>
        <w:jc w:val="both"/>
        <w:rPr>
          <w:rFonts w:ascii="Times New Roman" w:hAnsi="Times New Roman" w:cs="Times New Roman"/>
        </w:rPr>
      </w:pPr>
      <w:r w:rsidRPr="00D1708F">
        <w:rPr>
          <w:rFonts w:ascii="Times New Roman" w:hAnsi="Times New Roman" w:cs="Times New Roman"/>
          <w:i/>
        </w:rPr>
        <w:t>Radišić, Jakov</w:t>
      </w:r>
      <w:r w:rsidRPr="00D1708F">
        <w:rPr>
          <w:rFonts w:ascii="Times New Roman" w:hAnsi="Times New Roman" w:cs="Times New Roman"/>
        </w:rPr>
        <w:t>, Obligaciono pravo, Opšti deo, Beograd, izdanja poslije 1982. godine;</w:t>
      </w:r>
    </w:p>
    <w:p w14:paraId="1FC2C1FA" w14:textId="77777777" w:rsidR="00D1708F" w:rsidRPr="00D1708F" w:rsidRDefault="00D1708F" w:rsidP="00D1708F">
      <w:pPr>
        <w:spacing w:before="178"/>
        <w:ind w:left="436"/>
        <w:jc w:val="both"/>
        <w:rPr>
          <w:rFonts w:ascii="Times New Roman" w:hAnsi="Times New Roman" w:cs="Times New Roman"/>
          <w:sz w:val="24"/>
        </w:rPr>
      </w:pPr>
      <w:r w:rsidRPr="00D1708F">
        <w:rPr>
          <w:rFonts w:ascii="Times New Roman" w:hAnsi="Times New Roman" w:cs="Times New Roman"/>
          <w:i/>
          <w:sz w:val="24"/>
        </w:rPr>
        <w:t>Perović, Slobodan</w:t>
      </w:r>
      <w:r w:rsidRPr="00D1708F">
        <w:rPr>
          <w:rFonts w:ascii="Times New Roman" w:hAnsi="Times New Roman" w:cs="Times New Roman"/>
          <w:sz w:val="24"/>
        </w:rPr>
        <w:t>, Obligaciono pravo, knjiga prva, Beograd, 1980. godine.</w:t>
      </w:r>
    </w:p>
    <w:p w14:paraId="0D98486C" w14:textId="77777777" w:rsidR="00D1708F" w:rsidRPr="00D1708F" w:rsidRDefault="00D1708F" w:rsidP="00D1708F">
      <w:pPr>
        <w:spacing w:line="268" w:lineRule="exact"/>
        <w:jc w:val="both"/>
        <w:rPr>
          <w:rFonts w:ascii="Times New Roman" w:hAnsi="Times New Roman" w:cs="Times New Roman"/>
          <w:sz w:val="24"/>
        </w:rPr>
      </w:pPr>
    </w:p>
    <w:p w14:paraId="3E0286A1" w14:textId="77777777" w:rsidR="00F5344B" w:rsidRPr="00D1708F" w:rsidRDefault="00F5344B" w:rsidP="00F5344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344B" w:rsidRPr="00D1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3C25"/>
    <w:multiLevelType w:val="hybridMultilevel"/>
    <w:tmpl w:val="D5CA4C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5CB9"/>
    <w:multiLevelType w:val="hybridMultilevel"/>
    <w:tmpl w:val="EFC041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4C7"/>
    <w:multiLevelType w:val="hybridMultilevel"/>
    <w:tmpl w:val="AF7A5A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0483"/>
    <w:multiLevelType w:val="hybridMultilevel"/>
    <w:tmpl w:val="8B187F24"/>
    <w:lvl w:ilvl="0" w:tplc="12ACC066"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1" w:tplc="B5E6E794">
      <w:numFmt w:val="bullet"/>
      <w:lvlText w:val="•"/>
      <w:lvlJc w:val="left"/>
      <w:pPr>
        <w:ind w:left="2018" w:hanging="360"/>
      </w:pPr>
      <w:rPr>
        <w:rFonts w:hint="default"/>
        <w:lang w:val="hr-HR" w:eastAsia="en-US" w:bidi="ar-SA"/>
      </w:rPr>
    </w:lvl>
    <w:lvl w:ilvl="2" w:tplc="A462EB82">
      <w:numFmt w:val="bullet"/>
      <w:lvlText w:val="•"/>
      <w:lvlJc w:val="left"/>
      <w:pPr>
        <w:ind w:left="2877" w:hanging="360"/>
      </w:pPr>
      <w:rPr>
        <w:rFonts w:hint="default"/>
        <w:lang w:val="hr-HR" w:eastAsia="en-US" w:bidi="ar-SA"/>
      </w:rPr>
    </w:lvl>
    <w:lvl w:ilvl="3" w:tplc="9170DC78">
      <w:numFmt w:val="bullet"/>
      <w:lvlText w:val="•"/>
      <w:lvlJc w:val="left"/>
      <w:pPr>
        <w:ind w:left="3735" w:hanging="360"/>
      </w:pPr>
      <w:rPr>
        <w:rFonts w:hint="default"/>
        <w:lang w:val="hr-HR" w:eastAsia="en-US" w:bidi="ar-SA"/>
      </w:rPr>
    </w:lvl>
    <w:lvl w:ilvl="4" w:tplc="AB36A672">
      <w:numFmt w:val="bullet"/>
      <w:lvlText w:val="•"/>
      <w:lvlJc w:val="left"/>
      <w:pPr>
        <w:ind w:left="4594" w:hanging="360"/>
      </w:pPr>
      <w:rPr>
        <w:rFonts w:hint="default"/>
        <w:lang w:val="hr-HR" w:eastAsia="en-US" w:bidi="ar-SA"/>
      </w:rPr>
    </w:lvl>
    <w:lvl w:ilvl="5" w:tplc="FA38E3F6">
      <w:numFmt w:val="bullet"/>
      <w:lvlText w:val="•"/>
      <w:lvlJc w:val="left"/>
      <w:pPr>
        <w:ind w:left="5453" w:hanging="360"/>
      </w:pPr>
      <w:rPr>
        <w:rFonts w:hint="default"/>
        <w:lang w:val="hr-HR" w:eastAsia="en-US" w:bidi="ar-SA"/>
      </w:rPr>
    </w:lvl>
    <w:lvl w:ilvl="6" w:tplc="0B4A80D4">
      <w:numFmt w:val="bullet"/>
      <w:lvlText w:val="•"/>
      <w:lvlJc w:val="left"/>
      <w:pPr>
        <w:ind w:left="6311" w:hanging="360"/>
      </w:pPr>
      <w:rPr>
        <w:rFonts w:hint="default"/>
        <w:lang w:val="hr-HR" w:eastAsia="en-US" w:bidi="ar-SA"/>
      </w:rPr>
    </w:lvl>
    <w:lvl w:ilvl="7" w:tplc="DA0ED52C">
      <w:numFmt w:val="bullet"/>
      <w:lvlText w:val="•"/>
      <w:lvlJc w:val="left"/>
      <w:pPr>
        <w:ind w:left="7170" w:hanging="360"/>
      </w:pPr>
      <w:rPr>
        <w:rFonts w:hint="default"/>
        <w:lang w:val="hr-HR" w:eastAsia="en-US" w:bidi="ar-SA"/>
      </w:rPr>
    </w:lvl>
    <w:lvl w:ilvl="8" w:tplc="9314E27C">
      <w:numFmt w:val="bullet"/>
      <w:lvlText w:val="•"/>
      <w:lvlJc w:val="left"/>
      <w:pPr>
        <w:ind w:left="8029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4EE45293"/>
    <w:multiLevelType w:val="hybridMultilevel"/>
    <w:tmpl w:val="AA4813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5AFA"/>
    <w:multiLevelType w:val="hybridMultilevel"/>
    <w:tmpl w:val="662C0A6E"/>
    <w:lvl w:ilvl="0" w:tplc="018252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4B"/>
    <w:rsid w:val="0000314E"/>
    <w:rsid w:val="00017A79"/>
    <w:rsid w:val="00034869"/>
    <w:rsid w:val="00061E16"/>
    <w:rsid w:val="00081893"/>
    <w:rsid w:val="00083FC4"/>
    <w:rsid w:val="0009357B"/>
    <w:rsid w:val="000A75CF"/>
    <w:rsid w:val="000B3AE3"/>
    <w:rsid w:val="000F22EC"/>
    <w:rsid w:val="00116FA7"/>
    <w:rsid w:val="00175945"/>
    <w:rsid w:val="001A119C"/>
    <w:rsid w:val="001B10B6"/>
    <w:rsid w:val="001B7CFA"/>
    <w:rsid w:val="001C2DC7"/>
    <w:rsid w:val="00210228"/>
    <w:rsid w:val="00213129"/>
    <w:rsid w:val="00221742"/>
    <w:rsid w:val="0022226A"/>
    <w:rsid w:val="0022706B"/>
    <w:rsid w:val="00235379"/>
    <w:rsid w:val="00253C47"/>
    <w:rsid w:val="002860A4"/>
    <w:rsid w:val="002A190B"/>
    <w:rsid w:val="002D028C"/>
    <w:rsid w:val="002D3538"/>
    <w:rsid w:val="00386448"/>
    <w:rsid w:val="003B7687"/>
    <w:rsid w:val="004147DC"/>
    <w:rsid w:val="00421464"/>
    <w:rsid w:val="0047424B"/>
    <w:rsid w:val="004E069B"/>
    <w:rsid w:val="004F1A6F"/>
    <w:rsid w:val="0052572F"/>
    <w:rsid w:val="00527CFA"/>
    <w:rsid w:val="005456AF"/>
    <w:rsid w:val="00564FFF"/>
    <w:rsid w:val="005A14B3"/>
    <w:rsid w:val="005E051D"/>
    <w:rsid w:val="005E58DE"/>
    <w:rsid w:val="00616905"/>
    <w:rsid w:val="00620FB6"/>
    <w:rsid w:val="006403CF"/>
    <w:rsid w:val="00645D36"/>
    <w:rsid w:val="006C1F8A"/>
    <w:rsid w:val="006D3C55"/>
    <w:rsid w:val="0071242C"/>
    <w:rsid w:val="00726C05"/>
    <w:rsid w:val="00727701"/>
    <w:rsid w:val="00772ED3"/>
    <w:rsid w:val="00782BAE"/>
    <w:rsid w:val="00791BAD"/>
    <w:rsid w:val="007B4FBA"/>
    <w:rsid w:val="007B67B3"/>
    <w:rsid w:val="008148DB"/>
    <w:rsid w:val="00847AFA"/>
    <w:rsid w:val="00872108"/>
    <w:rsid w:val="008A6526"/>
    <w:rsid w:val="00926F90"/>
    <w:rsid w:val="009411DE"/>
    <w:rsid w:val="00974255"/>
    <w:rsid w:val="00977068"/>
    <w:rsid w:val="00981C2E"/>
    <w:rsid w:val="009A5137"/>
    <w:rsid w:val="009C35F1"/>
    <w:rsid w:val="009F3ABF"/>
    <w:rsid w:val="00A33C74"/>
    <w:rsid w:val="00A36CEF"/>
    <w:rsid w:val="00A71729"/>
    <w:rsid w:val="00A74D85"/>
    <w:rsid w:val="00A93BD0"/>
    <w:rsid w:val="00AD60AE"/>
    <w:rsid w:val="00B00A53"/>
    <w:rsid w:val="00B06656"/>
    <w:rsid w:val="00B23768"/>
    <w:rsid w:val="00C07346"/>
    <w:rsid w:val="00C0796F"/>
    <w:rsid w:val="00C249CA"/>
    <w:rsid w:val="00C4277E"/>
    <w:rsid w:val="00C80D23"/>
    <w:rsid w:val="00CC21E9"/>
    <w:rsid w:val="00CD2577"/>
    <w:rsid w:val="00CF579E"/>
    <w:rsid w:val="00D1708F"/>
    <w:rsid w:val="00D73293"/>
    <w:rsid w:val="00D97671"/>
    <w:rsid w:val="00DB5F60"/>
    <w:rsid w:val="00E17C34"/>
    <w:rsid w:val="00E258CA"/>
    <w:rsid w:val="00E44ED9"/>
    <w:rsid w:val="00E53075"/>
    <w:rsid w:val="00E67B82"/>
    <w:rsid w:val="00EB041D"/>
    <w:rsid w:val="00EB497E"/>
    <w:rsid w:val="00EF1CE9"/>
    <w:rsid w:val="00F26520"/>
    <w:rsid w:val="00F332D0"/>
    <w:rsid w:val="00F5344B"/>
    <w:rsid w:val="00F91691"/>
    <w:rsid w:val="00FD1CE8"/>
    <w:rsid w:val="00FD70D5"/>
    <w:rsid w:val="00F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163C5"/>
  <w15:docId w15:val="{0C57CB3D-B299-4958-B9BF-6C8B6DFB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4B"/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21312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21312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sl-SI" w:eastAsia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5344B"/>
    <w:pPr>
      <w:ind w:left="720"/>
      <w:contextualSpacing/>
    </w:pPr>
  </w:style>
  <w:style w:type="table" w:styleId="TableGrid">
    <w:name w:val="Table Grid"/>
    <w:basedOn w:val="TableNormal"/>
    <w:rsid w:val="00F5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5344B"/>
    <w:pPr>
      <w:spacing w:after="0" w:line="360" w:lineRule="auto"/>
    </w:pPr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character" w:customStyle="1" w:styleId="BodyText2Char">
    <w:name w:val="Body Text 2 Char"/>
    <w:basedOn w:val="DefaultParagraphFont"/>
    <w:link w:val="BodyText2"/>
    <w:rsid w:val="00F5344B"/>
    <w:rPr>
      <w:rFonts w:ascii="Arial" w:eastAsia="Times New Roman" w:hAnsi="Arial" w:cs="Times New Roman"/>
      <w:b/>
      <w:sz w:val="24"/>
      <w:szCs w:val="20"/>
      <w:u w:val="single"/>
      <w:lang w:val="sl-SI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2131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129"/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213129"/>
    <w:rPr>
      <w:rFonts w:ascii="Arial" w:eastAsia="Times New Roman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213129"/>
    <w:rPr>
      <w:rFonts w:ascii="Arial" w:eastAsia="Times New Roman" w:hAnsi="Arial" w:cs="Times New Roman"/>
      <w:b/>
      <w:sz w:val="24"/>
      <w:szCs w:val="20"/>
      <w:lang w:val="sl-SI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6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B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82"/>
    <w:rPr>
      <w:rFonts w:ascii="Segoe UI" w:hAnsi="Segoe UI" w:cs="Segoe UI"/>
      <w:sz w:val="18"/>
      <w:szCs w:val="18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A53"/>
    <w:pPr>
      <w:spacing w:after="160"/>
    </w:pPr>
    <w:rPr>
      <w:rFonts w:asciiTheme="minorHAnsi" w:eastAsiaTheme="minorHAnsi" w:hAnsiTheme="minorHAnsi" w:cstheme="minorBidi"/>
      <w:b/>
      <w:bCs/>
      <w:lang w:val="bs-Latn-B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A53"/>
    <w:rPr>
      <w:rFonts w:ascii="Times New Roman" w:eastAsia="Times New Roman" w:hAnsi="Times New Roman" w:cs="Times New Roman"/>
      <w:b/>
      <w:bCs/>
      <w:sz w:val="20"/>
      <w:szCs w:val="20"/>
      <w:lang w:val="bs-Latn-BA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D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  <w:style w:type="paragraph" w:customStyle="1" w:styleId="TableParagraph">
    <w:name w:val="Table Paragraph"/>
    <w:basedOn w:val="Normal"/>
    <w:uiPriority w:val="1"/>
    <w:qFormat/>
    <w:rsid w:val="00A74D85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01fead79167ba1c9f871c53badfd02a5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6c9985d01749c05f47395a23acbfb1ac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4CD97-789A-409A-A775-A1257DC98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038A7-DCB0-41BC-81C6-EA1D3A511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C3607-D690-412A-AD13-28A0A6E07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</dc:creator>
  <cp:keywords/>
  <dc:description/>
  <cp:lastModifiedBy>Almedina Šabić</cp:lastModifiedBy>
  <cp:revision>2</cp:revision>
  <cp:lastPrinted>2020-02-18T10:21:00Z</cp:lastPrinted>
  <dcterms:created xsi:type="dcterms:W3CDTF">2021-03-05T09:21:00Z</dcterms:created>
  <dcterms:modified xsi:type="dcterms:W3CDTF">2021-03-05T09:21:00Z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