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633DB" w14:textId="77777777" w:rsidR="00330E1A" w:rsidRDefault="00330E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4B003180" w14:textId="77777777" w:rsidR="00330E1A" w:rsidRDefault="00330E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6177C647" w14:textId="77777777" w:rsidR="00330E1A" w:rsidRDefault="004C43C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I CIKLUS STUDIJA</w:t>
      </w:r>
    </w:p>
    <w:p w14:paraId="4AFE7645" w14:textId="77777777" w:rsidR="00330E1A" w:rsidRDefault="004C43C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>Međunarodno finansijsko pravo</w:t>
      </w:r>
    </w:p>
    <w:p w14:paraId="1F0C2529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Obavezni predmet</w:t>
      </w:r>
    </w:p>
    <w:p w14:paraId="2FFA658B" w14:textId="70527B81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VII semestar / Akademska 20</w:t>
      </w:r>
      <w:r w:rsidR="003A38FD">
        <w:rPr>
          <w:rFonts w:ascii="Times New Roman" w:eastAsia="Times New Roman" w:hAnsi="Times New Roman" w:cs="Times New Roman"/>
          <w:sz w:val="20"/>
          <w:szCs w:val="20"/>
          <w:lang w:val="hr-HR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./20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 w:rsidR="003A38FD"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. godina</w:t>
      </w:r>
    </w:p>
    <w:p w14:paraId="3416628F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Broj kontakt sati (p+v): 2+0 </w:t>
      </w:r>
    </w:p>
    <w:p w14:paraId="59CFD25A" w14:textId="77777777" w:rsidR="00330E1A" w:rsidRDefault="004C43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>ECTS 3</w:t>
      </w:r>
    </w:p>
    <w:p w14:paraId="14C5AEB3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Nosilac predmeta:</w:t>
      </w:r>
    </w:p>
    <w:p w14:paraId="7ECBC0FF" w14:textId="020572CF" w:rsidR="00330E1A" w:rsidRDefault="00C30A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Prof</w:t>
      </w:r>
      <w:r w:rsidR="004C43CE">
        <w:rPr>
          <w:rFonts w:ascii="Times New Roman" w:eastAsia="Times New Roman" w:hAnsi="Times New Roman" w:cs="Times New Roman"/>
          <w:b/>
          <w:i/>
          <w:iCs/>
          <w:sz w:val="20"/>
          <w:szCs w:val="20"/>
          <w:lang w:val="hr-HR"/>
        </w:rPr>
        <w:t>. Dr. Edina Sudžuka</w:t>
      </w:r>
    </w:p>
    <w:p w14:paraId="69B7EAC6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>Kontakt: e.sudzuka@pfsa.unsa.ba, 033 – 206 – 350</w:t>
      </w:r>
    </w:p>
    <w:p w14:paraId="4FB69CBF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 xml:space="preserve">Kabinet: Pravni fakultet, III kat, soba 308, </w:t>
      </w:r>
    </w:p>
    <w:p w14:paraId="09C6467A" w14:textId="77777777" w:rsidR="003A38FD" w:rsidRDefault="004C43CE" w:rsidP="003A38F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  <w:lang w:val="hr-HR"/>
        </w:rPr>
        <w:t>Konsultacije: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Ponedjeljak od 1</w:t>
      </w:r>
      <w:r w:rsidR="003A38F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2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:00 do 1</w:t>
      </w:r>
      <w:r w:rsidR="003A38FD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2</w:t>
      </w:r>
      <w:r w:rsidR="003A38FD"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:45</w:t>
      </w:r>
    </w:p>
    <w:p w14:paraId="168A7663" w14:textId="77777777" w:rsidR="003A38FD" w:rsidRPr="00673AA5" w:rsidRDefault="003A38FD" w:rsidP="003A38F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Četvrtak od 12:00 do 15:00</w:t>
      </w:r>
      <w:r w:rsidRPr="00673AA5">
        <w:rPr>
          <w:rFonts w:ascii="Times New Roman" w:eastAsia="Calibri" w:hAnsi="Times New Roman" w:cs="Times New Roman"/>
          <w:b/>
          <w:bCs/>
          <w:i/>
          <w:iCs/>
          <w:sz w:val="20"/>
          <w:szCs w:val="20"/>
        </w:rPr>
        <w:t>.</w:t>
      </w:r>
    </w:p>
    <w:p w14:paraId="2BA83E07" w14:textId="58EC730E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hr-HR"/>
        </w:rPr>
      </w:pPr>
    </w:p>
    <w:p w14:paraId="706068EF" w14:textId="77777777" w:rsidR="00330E1A" w:rsidRDefault="004C43C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Izvod iz syllabusa</w:t>
      </w:r>
    </w:p>
    <w:p w14:paraId="3DA68339" w14:textId="77777777" w:rsidR="00330E1A" w:rsidRDefault="004C43CE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  <w:t xml:space="preserve">Opis predmeta </w:t>
      </w:r>
    </w:p>
    <w:p w14:paraId="3804F8D9" w14:textId="77777777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hr-HR"/>
        </w:rPr>
      </w:pPr>
    </w:p>
    <w:p w14:paraId="31CB8030" w14:textId="77777777" w:rsidR="00330E1A" w:rsidRDefault="004C43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Sadržaj predmeta obuhvata više tematskih cjelina, nastavom u okviru 15 sedmica će biti obuhvaćene slijedeće: </w:t>
      </w:r>
    </w:p>
    <w:p w14:paraId="670185BB" w14:textId="77777777" w:rsidR="00330E1A" w:rsidRDefault="00330E1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hr-HR"/>
        </w:rPr>
      </w:pPr>
    </w:p>
    <w:p w14:paraId="40743E09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Predmet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razvoj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izvori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principi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Međunarodnog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finansijskog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prava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</w:p>
    <w:p w14:paraId="467CB6B6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Međunarodni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finansijski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tokovi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odnosi</w:t>
      </w:r>
      <w:proofErr w:type="spellEnd"/>
    </w:p>
    <w:p w14:paraId="397A3CFC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Subjekti međunarodnog finansijskog prava</w:t>
      </w:r>
    </w:p>
    <w:p w14:paraId="2182535C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>Porezi i problemi oporezivanja u međunarodnom finansijskom pravu</w:t>
      </w:r>
    </w:p>
    <w:p w14:paraId="1FC4B2A9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IV.I.  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Porezi i ekonomske integracije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; </w:t>
      </w:r>
    </w:p>
    <w:p w14:paraId="5806C6C0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IV.I.I. Porezna harmonizacija indirektnih poreza (PDV, Akcize) u Evropskoj uniji</w:t>
      </w:r>
    </w:p>
    <w:p w14:paraId="170386EC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 xml:space="preserve">IV.I.II. </w:t>
      </w:r>
      <w:r>
        <w:rPr>
          <w:rFonts w:ascii="Times New Roman" w:eastAsia="Times New Roman" w:hAnsi="Times New Roman" w:cs="Times New Roman"/>
          <w:sz w:val="20"/>
          <w:szCs w:val="20"/>
          <w:lang w:val="hr-HR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Porezna harmonizacija 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>direktnih poreza (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osobni dohodak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dobit privrednih društava</w:t>
      </w:r>
      <w:r>
        <w:rPr>
          <w:rFonts w:ascii="Times New Roman" w:eastAsia="Times New Roman" w:hAnsi="Times New Roman" w:cs="Times New Roman"/>
          <w:sz w:val="20"/>
          <w:szCs w:val="20"/>
          <w:lang w:val="de-DE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porez na imovinu) u Evropskoj uniji</w:t>
      </w:r>
    </w:p>
    <w:p w14:paraId="7D5BD709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IV.II. Carine i ostale mjere trgovinske zaštite u međunarodnim trgovinskim i finansijskim odnosima</w:t>
      </w:r>
    </w:p>
    <w:p w14:paraId="4755632A" w14:textId="77777777" w:rsidR="00330E1A" w:rsidRDefault="004C43CE">
      <w:pPr>
        <w:ind w:left="720"/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IV.III. Međunarodno dvostruko oporezivanje i metode njegovog izbjegavanja</w:t>
      </w:r>
    </w:p>
    <w:p w14:paraId="31CA1581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Evropski monetarni sistem</w:t>
      </w:r>
    </w:p>
    <w:p w14:paraId="30A7C823" w14:textId="77777777" w:rsidR="00330E1A" w:rsidRDefault="004C43CE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Međunarodni monetarni sistem</w:t>
      </w:r>
    </w:p>
    <w:p w14:paraId="2FB5AB20" w14:textId="77777777" w:rsidR="00330E1A" w:rsidRDefault="004C43CE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VI.I. Međunarodne monetarne institucije</w:t>
      </w:r>
    </w:p>
    <w:p w14:paraId="6772BE3E" w14:textId="77777777" w:rsidR="00330E1A" w:rsidRDefault="004C43CE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  <w:r>
        <w:rPr>
          <w:rFonts w:ascii="Times New Roman" w:eastAsia="Times New Roman" w:hAnsi="Times New Roman" w:cs="Times New Roman"/>
          <w:sz w:val="20"/>
          <w:szCs w:val="20"/>
          <w:lang w:val="nl-NL"/>
        </w:rPr>
        <w:t>VI.II. Regionalne monetarne institucije</w:t>
      </w:r>
    </w:p>
    <w:p w14:paraId="37F945A3" w14:textId="77777777" w:rsidR="00330E1A" w:rsidRDefault="00330E1A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val="nl-NL"/>
        </w:rPr>
      </w:pPr>
    </w:p>
    <w:p w14:paraId="70F15461" w14:textId="77777777" w:rsidR="00330E1A" w:rsidRDefault="004C43CE">
      <w:pPr>
        <w:numPr>
          <w:ilvl w:val="0"/>
          <w:numId w:val="2"/>
        </w:numPr>
        <w:tabs>
          <w:tab w:val="left" w:pos="300"/>
        </w:tabs>
        <w:autoSpaceDE w:val="0"/>
        <w:autoSpaceDN w:val="0"/>
        <w:adjustRightInd w:val="0"/>
        <w:spacing w:after="0" w:line="240" w:lineRule="auto"/>
        <w:ind w:hanging="820"/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Polaganje ispita /kontinuirano praćenje i ocjenjivanje rada studenata:</w:t>
      </w:r>
    </w:p>
    <w:p w14:paraId="753F0918" w14:textId="77777777" w:rsidR="00330E1A" w:rsidRDefault="004C43C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Prv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parcijalni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ispit</w:t>
      </w:r>
      <w:proofErr w:type="spellEnd"/>
    </w:p>
    <w:p w14:paraId="31A069E3" w14:textId="53F6F023" w:rsidR="00330E1A" w:rsidRPr="00BC0FBC" w:rsidRDefault="004C43CE" w:rsidP="00BC0FBC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-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7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.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sedmica nastave  (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.1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2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.20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20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. godine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za R i RS studente, 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.12.20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20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. za vanredne i dl studente -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grupe će naknadno biti formirane i oglašene)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ab/>
      </w:r>
    </w:p>
    <w:p w14:paraId="720AE4CE" w14:textId="0D753207" w:rsidR="00330E1A" w:rsidRDefault="004C43CE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-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usmeni ispit ili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pismeni test koji nosi maksimalno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35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bodova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;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Student treba ostvariti minimalno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19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bodova da bi stekao uvjet za pristupanje II semestralnoj provjeri znanja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 1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4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.1.202</w:t>
      </w:r>
      <w:r w:rsidR="00C30AE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.</w:t>
      </w:r>
    </w:p>
    <w:p w14:paraId="26F8ADA5" w14:textId="77777777" w:rsidR="00330E1A" w:rsidRDefault="004C43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      b)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Drug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parcijalni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ispit</w:t>
      </w:r>
      <w:proofErr w:type="spellEnd"/>
    </w:p>
    <w:p w14:paraId="2D2A61B1" w14:textId="0E2F7ABB" w:rsidR="00330E1A" w:rsidRDefault="004C43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lastRenderedPageBreak/>
        <w:t>- 15. sedmica nastave  (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1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4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.01.20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2</w:t>
      </w:r>
      <w:r w:rsidR="00BC0FBC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1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. godine) </w:t>
      </w:r>
    </w:p>
    <w:p w14:paraId="4DF29978" w14:textId="77777777" w:rsidR="00330E1A" w:rsidRDefault="004C43C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bCs/>
          <w:sz w:val="20"/>
          <w:szCs w:val="20"/>
          <w:u w:val="single"/>
          <w:lang w:val="hr-HR"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- od 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2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8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do 5</w:t>
      </w:r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0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bodova (uvjet za formiranje konačne ocjene je minimalno sticanje 55 bodova ostvarenih tokom I i II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parcijalnog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n-US" w:eastAsia="hr-HR"/>
        </w:rPr>
        <w:t>ispita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)</w:t>
      </w:r>
    </w:p>
    <w:p w14:paraId="6EF66616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DB73D7E" w14:textId="77777777" w:rsidR="00330E1A" w:rsidRDefault="004C43CE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 Aktivnost na časovima nastave -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>seminarski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hr-HR"/>
        </w:rPr>
        <w:t xml:space="preserve"> rad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>od 0 do 1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hr-HR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hr-HR" w:eastAsia="hr-HR"/>
        </w:rPr>
        <w:t xml:space="preserve"> bodova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(bodovi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od 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>aktivnosti sabiraju se sa bodovima na testovima tek pri formiranj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>u</w:t>
      </w:r>
      <w:r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  <w:t xml:space="preserve"> konačne ocjene)</w:t>
      </w:r>
    </w:p>
    <w:tbl>
      <w:tblPr>
        <w:tblpPr w:leftFromText="180" w:rightFromText="180" w:vertAnchor="page" w:horzAnchor="page" w:tblpX="1408" w:tblpY="1542"/>
        <w:tblW w:w="13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2"/>
        <w:gridCol w:w="1281"/>
        <w:gridCol w:w="4945"/>
      </w:tblGrid>
      <w:tr w:rsidR="00330E1A" w14:paraId="1B3622F5" w14:textId="77777777">
        <w:trPr>
          <w:trHeight w:val="274"/>
        </w:trPr>
        <w:tc>
          <w:tcPr>
            <w:tcW w:w="7642" w:type="dxa"/>
          </w:tcPr>
          <w:p w14:paraId="79BF135D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Oblik aktivnosti studenata u toku semestra</w:t>
            </w:r>
          </w:p>
        </w:tc>
        <w:tc>
          <w:tcPr>
            <w:tcW w:w="1281" w:type="dxa"/>
          </w:tcPr>
          <w:p w14:paraId="3256DC15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Bodovi (%)</w:t>
            </w:r>
          </w:p>
        </w:tc>
        <w:tc>
          <w:tcPr>
            <w:tcW w:w="4945" w:type="dxa"/>
          </w:tcPr>
          <w:p w14:paraId="4945F0DD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Napomena:</w:t>
            </w:r>
          </w:p>
        </w:tc>
      </w:tr>
      <w:tr w:rsidR="00330E1A" w14:paraId="36269216" w14:textId="77777777">
        <w:trPr>
          <w:trHeight w:val="274"/>
        </w:trPr>
        <w:tc>
          <w:tcPr>
            <w:tcW w:w="7642" w:type="dxa"/>
          </w:tcPr>
          <w:p w14:paraId="06E7CE39" w14:textId="597B5B91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eastAsia="hr-HR"/>
              </w:rPr>
              <w:t>Prv</w:t>
            </w:r>
            <w:r w:rsidR="00A36CB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eastAsia="hr-HR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parcijalni ispit</w:t>
            </w:r>
          </w:p>
        </w:tc>
        <w:tc>
          <w:tcPr>
            <w:tcW w:w="1281" w:type="dxa"/>
          </w:tcPr>
          <w:p w14:paraId="05DF238C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4945" w:type="dxa"/>
          </w:tcPr>
          <w:p w14:paraId="5C63663C" w14:textId="50F3183D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>Za prolaznu ocjenu potrebno ostvariti</w:t>
            </w:r>
            <w:r w:rsidR="003A38F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  <w:t xml:space="preserve"> bodova</w:t>
            </w:r>
          </w:p>
          <w:p w14:paraId="75D50548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– 18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C6B243C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– 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5B1DFF92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– 26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11E75381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– 29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7CA2B974" w14:textId="77777777" w:rsidR="00BC0FBC" w:rsidRDefault="004C43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– 32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6C55E45C" w14:textId="727B3B66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 – 35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= 10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330E1A" w14:paraId="60488E71" w14:textId="77777777">
        <w:trPr>
          <w:trHeight w:val="1614"/>
        </w:trPr>
        <w:tc>
          <w:tcPr>
            <w:tcW w:w="7642" w:type="dxa"/>
          </w:tcPr>
          <w:p w14:paraId="00BF28CB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Aktivnost na času</w:t>
            </w:r>
          </w:p>
        </w:tc>
        <w:tc>
          <w:tcPr>
            <w:tcW w:w="1281" w:type="dxa"/>
          </w:tcPr>
          <w:p w14:paraId="408C9C35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8 -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4945" w:type="dxa"/>
          </w:tcPr>
          <w:p w14:paraId="6D517A63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Bodovi stečeni  u toku semestra po osnovu:</w:t>
            </w:r>
          </w:p>
          <w:p w14:paraId="761DB4C1" w14:textId="77777777" w:rsidR="003A38FD" w:rsidRDefault="004C43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aktivnosti na nastavi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9BD234F" w14:textId="77777777" w:rsidR="003A38FD" w:rsidRDefault="004C43C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izrade eseja (8 </w:t>
            </w:r>
            <w:r w:rsidR="003A38FD">
              <w:rPr>
                <w:rFonts w:ascii="Times New Roman" w:hAnsi="Times New Roman" w:cs="Times New Roman"/>
                <w:sz w:val="20"/>
                <w:szCs w:val="20"/>
              </w:rPr>
              <w:t xml:space="preserve">-12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bodova), </w:t>
            </w:r>
          </w:p>
          <w:p w14:paraId="69D12B29" w14:textId="21157BE1" w:rsidR="00330E1A" w:rsidRDefault="003A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4C43CE">
              <w:rPr>
                <w:rFonts w:ascii="Times New Roman" w:hAnsi="Times New Roman" w:cs="Times New Roman"/>
                <w:sz w:val="20"/>
                <w:szCs w:val="20"/>
              </w:rPr>
              <w:t>prezentacije i izlaganja eseja</w:t>
            </w:r>
            <w:r w:rsidR="004C43CE"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(3 boda) uračunavaju se tek pri formiranju konačne ocjene.</w:t>
            </w:r>
            <w:r w:rsidR="004C43C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871C633" w14:textId="42770B7A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Minimalan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prolaznu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ocjenu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="003A38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max. 15 </w:t>
            </w:r>
            <w:proofErr w:type="gramStart"/>
            <w:r w:rsidR="003A38FD">
              <w:rPr>
                <w:rFonts w:ascii="Times New Roman" w:eastAsia="Times New Roman" w:hAnsi="Times New Roman" w:cs="Times New Roman"/>
                <w:sz w:val="20"/>
                <w:szCs w:val="20"/>
              </w:rPr>
              <w:t>bodova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59D18CEA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 i 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</w:p>
          <w:p w14:paraId="46794166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b. =7; </w:t>
            </w:r>
          </w:p>
          <w:p w14:paraId="7D002AB4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 i 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b.=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E7AADBA" w14:textId="77777777" w:rsidR="003A38FD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13 i 14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b=9, </w:t>
            </w:r>
          </w:p>
          <w:p w14:paraId="5FCD4122" w14:textId="0A7325B8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b.=10</w:t>
            </w:r>
          </w:p>
        </w:tc>
      </w:tr>
      <w:tr w:rsidR="00330E1A" w14:paraId="05732645" w14:textId="77777777">
        <w:trPr>
          <w:trHeight w:val="529"/>
        </w:trPr>
        <w:tc>
          <w:tcPr>
            <w:tcW w:w="7642" w:type="dxa"/>
          </w:tcPr>
          <w:tbl>
            <w:tblPr>
              <w:tblW w:w="3107" w:type="dxa"/>
              <w:tblInd w:w="4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07"/>
            </w:tblGrid>
            <w:tr w:rsidR="00330E1A" w14:paraId="7C530470" w14:textId="77777777">
              <w:trPr>
                <w:trHeight w:val="529"/>
              </w:trPr>
              <w:tc>
                <w:tcPr>
                  <w:tcW w:w="3107" w:type="dxa"/>
                </w:tcPr>
                <w:p w14:paraId="5A8D5DC4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Ukupno bodova tokom semestra</w:t>
                  </w:r>
                </w:p>
              </w:tc>
            </w:tr>
          </w:tbl>
          <w:p w14:paraId="17DE2D88" w14:textId="77777777" w:rsidR="00330E1A" w:rsidRDefault="00330E1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281" w:type="dxa"/>
          </w:tcPr>
          <w:p w14:paraId="41858329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val="hr-HR"/>
              </w:rPr>
              <w:footnoteReference w:id="1"/>
            </w:r>
          </w:p>
        </w:tc>
        <w:tc>
          <w:tcPr>
            <w:tcW w:w="4945" w:type="dxa"/>
          </w:tcPr>
          <w:p w14:paraId="3A05A40C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Završnom ispitu pristupaju studenti koji su ostvarili minimalni broj 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) bodova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na 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parcijalnom ispitu.</w:t>
            </w:r>
          </w:p>
        </w:tc>
      </w:tr>
      <w:tr w:rsidR="00330E1A" w14:paraId="34918F2F" w14:textId="77777777">
        <w:trPr>
          <w:trHeight w:val="729"/>
        </w:trPr>
        <w:tc>
          <w:tcPr>
            <w:tcW w:w="7642" w:type="dxa"/>
          </w:tcPr>
          <w:p w14:paraId="2D8FEA9A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3. Završni ispit (II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parcijalni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)</w:t>
            </w:r>
          </w:p>
        </w:tc>
        <w:tc>
          <w:tcPr>
            <w:tcW w:w="1281" w:type="dxa"/>
          </w:tcPr>
          <w:p w14:paraId="0527DF01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4945" w:type="dxa"/>
          </w:tcPr>
          <w:p w14:paraId="65A2E0A9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hr-HR"/>
              </w:rPr>
              <w:t>Napomena: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Uvjet za formiranje konačne ocjene je ostvareni minimum 55 bodova ( I +II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parcijalni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>/završn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  <w:t xml:space="preserve"> ispit).</w:t>
            </w:r>
          </w:p>
        </w:tc>
      </w:tr>
      <w:tr w:rsidR="00330E1A" w14:paraId="4112171F" w14:textId="77777777">
        <w:trPr>
          <w:trHeight w:val="308"/>
        </w:trPr>
        <w:tc>
          <w:tcPr>
            <w:tcW w:w="7642" w:type="dxa"/>
          </w:tcPr>
          <w:tbl>
            <w:tblPr>
              <w:tblW w:w="3114" w:type="dxa"/>
              <w:tblInd w:w="4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4"/>
            </w:tblGrid>
            <w:tr w:rsidR="00330E1A" w14:paraId="504C7E24" w14:textId="77777777">
              <w:trPr>
                <w:trHeight w:val="493"/>
              </w:trPr>
              <w:tc>
                <w:tcPr>
                  <w:tcW w:w="3114" w:type="dxa"/>
                </w:tcPr>
                <w:p w14:paraId="4F2EC51B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 xml:space="preserve">Ukupno bodova </w:t>
                  </w:r>
                </w:p>
              </w:tc>
            </w:tr>
          </w:tbl>
          <w:p w14:paraId="2190030C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1281" w:type="dxa"/>
          </w:tcPr>
          <w:p w14:paraId="2CD1A047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100</w:t>
            </w:r>
          </w:p>
        </w:tc>
        <w:tc>
          <w:tcPr>
            <w:tcW w:w="4945" w:type="dxa"/>
          </w:tcPr>
          <w:p w14:paraId="00FE9120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30E1A" w14:paraId="45AA7BB2" w14:textId="77777777">
        <w:trPr>
          <w:trHeight w:val="274"/>
        </w:trPr>
        <w:tc>
          <w:tcPr>
            <w:tcW w:w="7642" w:type="dxa"/>
          </w:tcPr>
          <w:p w14:paraId="6E0DD754" w14:textId="77777777" w:rsidR="00330E1A" w:rsidRDefault="004C43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ocjena/ Distribucija bodova</w:t>
            </w:r>
          </w:p>
        </w:tc>
        <w:tc>
          <w:tcPr>
            <w:tcW w:w="6226" w:type="dxa"/>
            <w:gridSpan w:val="2"/>
          </w:tcPr>
          <w:p w14:paraId="240A995E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30E1A" w14:paraId="1CE2DE92" w14:textId="77777777">
        <w:trPr>
          <w:trHeight w:val="421"/>
        </w:trPr>
        <w:tc>
          <w:tcPr>
            <w:tcW w:w="7642" w:type="dxa"/>
          </w:tcPr>
          <w:tbl>
            <w:tblPr>
              <w:tblW w:w="74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1"/>
              <w:gridCol w:w="1038"/>
              <w:gridCol w:w="4131"/>
            </w:tblGrid>
            <w:tr w:rsidR="00330E1A" w14:paraId="3C445A7E" w14:textId="77777777">
              <w:trPr>
                <w:trHeight w:val="322"/>
              </w:trPr>
              <w:tc>
                <w:tcPr>
                  <w:tcW w:w="2241" w:type="dxa"/>
                </w:tcPr>
                <w:p w14:paraId="38583F9F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Broj stečenih bodova</w:t>
                  </w:r>
                </w:p>
              </w:tc>
              <w:tc>
                <w:tcPr>
                  <w:tcW w:w="1038" w:type="dxa"/>
                </w:tcPr>
                <w:p w14:paraId="2C8D7614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Ocjena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49F7A366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hr-HR"/>
                    </w:rPr>
                    <w:t>Opis</w:t>
                  </w:r>
                </w:p>
              </w:tc>
            </w:tr>
            <w:tr w:rsidR="00330E1A" w14:paraId="3073909C" w14:textId="77777777">
              <w:trPr>
                <w:trHeight w:val="308"/>
              </w:trPr>
              <w:tc>
                <w:tcPr>
                  <w:tcW w:w="2241" w:type="dxa"/>
                </w:tcPr>
                <w:p w14:paraId="255076D5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95-100</w:t>
                  </w:r>
                </w:p>
              </w:tc>
              <w:tc>
                <w:tcPr>
                  <w:tcW w:w="1038" w:type="dxa"/>
                </w:tcPr>
                <w:p w14:paraId="1AEB81C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10(A)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57DF66B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Izuzetan uspjeh sa neznatnim greškama</w:t>
                  </w:r>
                </w:p>
              </w:tc>
            </w:tr>
            <w:tr w:rsidR="00330E1A" w14:paraId="3F64B3D4" w14:textId="77777777">
              <w:trPr>
                <w:trHeight w:val="322"/>
              </w:trPr>
              <w:tc>
                <w:tcPr>
                  <w:tcW w:w="2241" w:type="dxa"/>
                </w:tcPr>
                <w:p w14:paraId="5C7F714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95-94</w:t>
                  </w:r>
                </w:p>
              </w:tc>
              <w:tc>
                <w:tcPr>
                  <w:tcW w:w="1038" w:type="dxa"/>
                </w:tcPr>
                <w:p w14:paraId="2028E0D9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9 (B)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5B469F93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Iznad prosjeka, sa ponekom greškom</w:t>
                  </w:r>
                </w:p>
              </w:tc>
            </w:tr>
            <w:tr w:rsidR="00330E1A" w14:paraId="39025411" w14:textId="77777777">
              <w:trPr>
                <w:trHeight w:val="322"/>
              </w:trPr>
              <w:tc>
                <w:tcPr>
                  <w:tcW w:w="2241" w:type="dxa"/>
                </w:tcPr>
                <w:p w14:paraId="1553954C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75-84</w:t>
                  </w:r>
                </w:p>
              </w:tc>
              <w:tc>
                <w:tcPr>
                  <w:tcW w:w="1038" w:type="dxa"/>
                </w:tcPr>
                <w:p w14:paraId="429350D0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8 (C)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28900AF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Prosječan sa primjetnim greškama</w:t>
                  </w:r>
                </w:p>
              </w:tc>
            </w:tr>
            <w:tr w:rsidR="00330E1A" w14:paraId="1DF3155E" w14:textId="77777777">
              <w:trPr>
                <w:trHeight w:val="308"/>
              </w:trPr>
              <w:tc>
                <w:tcPr>
                  <w:tcW w:w="2241" w:type="dxa"/>
                </w:tcPr>
                <w:p w14:paraId="295FE6F2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65-74</w:t>
                  </w:r>
                </w:p>
              </w:tc>
              <w:tc>
                <w:tcPr>
                  <w:tcW w:w="1038" w:type="dxa"/>
                </w:tcPr>
                <w:p w14:paraId="5F2B926D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7 (D)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259D4880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Općenito dobar, ali sa značajnim nedostacima</w:t>
                  </w:r>
                </w:p>
              </w:tc>
            </w:tr>
            <w:tr w:rsidR="00330E1A" w14:paraId="7882E9E2" w14:textId="77777777">
              <w:trPr>
                <w:trHeight w:val="322"/>
              </w:trPr>
              <w:tc>
                <w:tcPr>
                  <w:tcW w:w="2241" w:type="dxa"/>
                </w:tcPr>
                <w:p w14:paraId="118779D6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55-64</w:t>
                  </w:r>
                </w:p>
              </w:tc>
              <w:tc>
                <w:tcPr>
                  <w:tcW w:w="1038" w:type="dxa"/>
                </w:tcPr>
                <w:p w14:paraId="1559D38C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6 (E)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32155C4E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Zadovoljava minimalne kriterije</w:t>
                  </w:r>
                </w:p>
              </w:tc>
            </w:tr>
            <w:tr w:rsidR="00330E1A" w14:paraId="65EE3FB3" w14:textId="77777777">
              <w:trPr>
                <w:trHeight w:val="322"/>
              </w:trPr>
              <w:tc>
                <w:tcPr>
                  <w:tcW w:w="2241" w:type="dxa"/>
                </w:tcPr>
                <w:p w14:paraId="5153833A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0-54</w:t>
                  </w:r>
                </w:p>
              </w:tc>
              <w:tc>
                <w:tcPr>
                  <w:tcW w:w="1038" w:type="dxa"/>
                </w:tcPr>
                <w:p w14:paraId="0BDE394A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5 (FX, F)</w:t>
                  </w:r>
                </w:p>
              </w:tc>
              <w:tc>
                <w:tcPr>
                  <w:tcW w:w="4131" w:type="dxa"/>
                  <w:shd w:val="clear" w:color="auto" w:fill="auto"/>
                </w:tcPr>
                <w:p w14:paraId="674890F7" w14:textId="77777777" w:rsidR="00330E1A" w:rsidRDefault="004C43CE">
                  <w:pPr>
                    <w:framePr w:hSpace="180" w:wrap="around" w:vAnchor="page" w:hAnchor="page" w:x="1408" w:y="1542"/>
                    <w:spacing w:after="0" w:line="36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hr-HR"/>
                    </w:rPr>
                    <w:t>Ne zadovoljava minimalne kriterije</w:t>
                  </w:r>
                </w:p>
              </w:tc>
            </w:tr>
          </w:tbl>
          <w:p w14:paraId="000EAC6B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6226" w:type="dxa"/>
            <w:gridSpan w:val="2"/>
          </w:tcPr>
          <w:p w14:paraId="4DF9380C" w14:textId="77777777" w:rsidR="00330E1A" w:rsidRDefault="00330E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</w:p>
          <w:p w14:paraId="6CE80085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 = 1+2+ 3</w:t>
            </w:r>
          </w:p>
          <w:p w14:paraId="1B68E5D4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>Konačna ocjena = 3 ECTS (obavezni predmet)</w:t>
            </w:r>
          </w:p>
          <w:p w14:paraId="2245C511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                           </w:t>
            </w:r>
          </w:p>
          <w:p w14:paraId="69A5E8DA" w14:textId="77777777" w:rsidR="00330E1A" w:rsidRDefault="004C43CE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hr-HR"/>
              </w:rPr>
              <w:t xml:space="preserve">                          </w:t>
            </w:r>
          </w:p>
        </w:tc>
      </w:tr>
    </w:tbl>
    <w:p w14:paraId="468145AE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685AF85A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04F6943A" w14:textId="77777777" w:rsidR="00330E1A" w:rsidRDefault="00330E1A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02A12E65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C7D8A71" w14:textId="77777777" w:rsidR="00330E1A" w:rsidRDefault="00330E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val="hr-HR" w:eastAsia="hr-HR"/>
        </w:rPr>
      </w:pPr>
    </w:p>
    <w:p w14:paraId="77350244" w14:textId="77777777" w:rsidR="00330E1A" w:rsidRDefault="00330E1A">
      <w:pPr>
        <w:rPr>
          <w:rFonts w:ascii="Times New Roman" w:hAnsi="Times New Roman" w:cs="Times New Roman"/>
          <w:sz w:val="20"/>
          <w:szCs w:val="20"/>
        </w:rPr>
      </w:pPr>
    </w:p>
    <w:p w14:paraId="47A4ED27" w14:textId="77777777" w:rsidR="00330E1A" w:rsidRDefault="00330E1A"/>
    <w:p w14:paraId="1D2AD427" w14:textId="77777777" w:rsidR="00330E1A" w:rsidRDefault="004C43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Distribucija opterećenja u ECTS</w:t>
      </w:r>
    </w:p>
    <w:tbl>
      <w:tblPr>
        <w:tblpPr w:leftFromText="180" w:rightFromText="180" w:vertAnchor="text" w:horzAnchor="page" w:tblpX="3463" w:tblpY="1212"/>
        <w:tblW w:w="9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3"/>
        <w:gridCol w:w="1891"/>
      </w:tblGrid>
      <w:tr w:rsidR="00330E1A" w14:paraId="61D87C59" w14:textId="77777777">
        <w:trPr>
          <w:trHeight w:val="417"/>
        </w:trPr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98DA0" w14:textId="77777777" w:rsidR="00330E1A" w:rsidRDefault="004C43CE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  <w:t xml:space="preserve">MEĐUNARODNO FINANSIJSKO PRAVO </w:t>
            </w:r>
          </w:p>
          <w:p w14:paraId="625AE21A" w14:textId="77777777" w:rsidR="00330E1A" w:rsidRDefault="00330E1A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hr-BA" w:eastAsia="bs-Latn-BA"/>
              </w:rPr>
            </w:pPr>
          </w:p>
        </w:tc>
        <w:tc>
          <w:tcPr>
            <w:tcW w:w="1891" w:type="dxa"/>
          </w:tcPr>
          <w:p w14:paraId="53A0FB60" w14:textId="77777777" w:rsidR="00330E1A" w:rsidRDefault="004C43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BA" w:eastAsia="bs-Latn-BA"/>
              </w:rPr>
              <w:t>ECTS:    3</w:t>
            </w:r>
          </w:p>
        </w:tc>
      </w:tr>
      <w:tr w:rsidR="00330E1A" w14:paraId="01E00E4A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4071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GODINA: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>IV (obavezni predmet)</w:t>
            </w:r>
          </w:p>
        </w:tc>
      </w:tr>
      <w:tr w:rsidR="00330E1A" w14:paraId="4F35A405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0DB31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SEMESTAR: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>VII</w:t>
            </w:r>
          </w:p>
        </w:tc>
      </w:tr>
      <w:tr w:rsidR="00330E1A" w14:paraId="1AFDFBB2" w14:textId="77777777">
        <w:trPr>
          <w:trHeight w:val="399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2DA5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BA" w:eastAsia="bs-Latn-BA"/>
              </w:rPr>
              <w:t xml:space="preserve">Nositelji predmeta: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 xml:space="preserve">Akademsko osoblje birano za naučnu oblast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/>
              </w:rPr>
              <w:t xml:space="preserve"> Finansijsko pravo</w:t>
            </w:r>
          </w:p>
        </w:tc>
      </w:tr>
      <w:tr w:rsidR="00330E1A" w14:paraId="48F76E26" w14:textId="77777777">
        <w:trPr>
          <w:trHeight w:val="264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D8C98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>KONTAKT SATI</w:t>
            </w:r>
          </w:p>
        </w:tc>
      </w:tr>
      <w:tr w:rsidR="00330E1A" w14:paraId="37EE8069" w14:textId="77777777">
        <w:trPr>
          <w:trHeight w:val="275"/>
        </w:trPr>
        <w:tc>
          <w:tcPr>
            <w:tcW w:w="9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973DB" w14:textId="77777777" w:rsidR="00330E1A" w:rsidRDefault="004C4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  <w:t>Predavanja:  2/15                        Vježbe: 0/0                                 Konsultacije: 5/75</w:t>
            </w:r>
          </w:p>
        </w:tc>
      </w:tr>
      <w:tr w:rsidR="00330E1A" w14:paraId="3110E140" w14:textId="77777777">
        <w:trPr>
          <w:trHeight w:val="68"/>
        </w:trPr>
        <w:tc>
          <w:tcPr>
            <w:tcW w:w="911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3C10C8B" w14:textId="77777777" w:rsidR="00330E1A" w:rsidRDefault="004C43CE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s-Latn-BA"/>
              </w:rPr>
              <w:t xml:space="preserve">Način vrednovanja i ocjenjivanja </w:t>
            </w:r>
          </w:p>
          <w:tbl>
            <w:tblPr>
              <w:tblW w:w="8882" w:type="dxa"/>
              <w:tblCellSpacing w:w="20" w:type="dxa"/>
              <w:tblInd w:w="1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36"/>
              <w:gridCol w:w="3192"/>
              <w:gridCol w:w="2454"/>
            </w:tblGrid>
            <w:tr w:rsidR="00330E1A" w14:paraId="21440FFA" w14:textId="77777777">
              <w:trPr>
                <w:gridAfter w:val="1"/>
                <w:wAfter w:w="2410" w:type="dxa"/>
                <w:trHeight w:val="231"/>
                <w:tblCellSpacing w:w="20" w:type="dxa"/>
              </w:trPr>
              <w:tc>
                <w:tcPr>
                  <w:tcW w:w="3198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300B0684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Oblici praćenj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cr/>
                    <w:t xml:space="preserve"> i provjeravanja</w:t>
                  </w:r>
                </w:p>
              </w:tc>
              <w:tc>
                <w:tcPr>
                  <w:tcW w:w="3154" w:type="dxa"/>
                  <w:shd w:val="clear" w:color="auto" w:fill="auto"/>
                </w:tcPr>
                <w:p w14:paraId="3205BD83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Usmeno i pismeno</w:t>
                  </w:r>
                </w:p>
              </w:tc>
            </w:tr>
            <w:tr w:rsidR="00330E1A" w14:paraId="36D8A2D8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4B25A4F0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 xml:space="preserve">Elementi praćenja i provjeravanja </w:t>
                  </w:r>
                </w:p>
              </w:tc>
              <w:tc>
                <w:tcPr>
                  <w:tcW w:w="3174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7E357116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Opterećenje u ECTS</w:t>
                  </w:r>
                </w:p>
              </w:tc>
              <w:tc>
                <w:tcPr>
                  <w:tcW w:w="2350" w:type="dxa"/>
                  <w:tcBorders>
                    <w:bottom w:val="single" w:sz="4" w:space="0" w:color="auto"/>
                  </w:tcBorders>
                  <w:shd w:val="clear" w:color="auto" w:fill="F2F2F2"/>
                </w:tcPr>
                <w:p w14:paraId="63405A64" w14:textId="77777777" w:rsidR="00330E1A" w:rsidRDefault="004C43CE" w:rsidP="00A36CB7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s-Latn-BA"/>
                    </w:rPr>
                    <w:t>Udio (%) u ocjeni</w:t>
                  </w:r>
                </w:p>
              </w:tc>
            </w:tr>
            <w:tr w:rsidR="00330E1A" w14:paraId="6070462A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2FEBFD41" w14:textId="20445D61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Seminarski rad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0B5F76B7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0,5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685A049F" w14:textId="77777777" w:rsidR="00330E1A" w:rsidRDefault="004C43CE" w:rsidP="00A36CB7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15%</w:t>
                  </w:r>
                </w:p>
              </w:tc>
            </w:tr>
            <w:tr w:rsidR="00330E1A" w14:paraId="0C3F3F7F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4E40A381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Parcijalni ispit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20CD7B6F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06051690" w14:textId="77777777" w:rsidR="00330E1A" w:rsidRDefault="004C43CE" w:rsidP="00A36CB7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35%</w:t>
                  </w:r>
                </w:p>
              </w:tc>
            </w:tr>
            <w:tr w:rsidR="00330E1A" w14:paraId="768CC38F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7173B2EA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Završna provjera znanja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7EA3BBA8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1,5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6A631796" w14:textId="77777777" w:rsidR="00330E1A" w:rsidRDefault="004C43CE" w:rsidP="00A36CB7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50%</w:t>
                  </w:r>
                </w:p>
              </w:tc>
            </w:tr>
            <w:tr w:rsidR="00330E1A" w14:paraId="0E7DCBB9" w14:textId="77777777">
              <w:trPr>
                <w:trHeight w:val="231"/>
                <w:tblCellSpacing w:w="20" w:type="dxa"/>
              </w:trPr>
              <w:tc>
                <w:tcPr>
                  <w:tcW w:w="3198" w:type="dxa"/>
                  <w:shd w:val="clear" w:color="auto" w:fill="auto"/>
                </w:tcPr>
                <w:p w14:paraId="11373EA3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Ukupno</w:t>
                  </w:r>
                </w:p>
              </w:tc>
              <w:tc>
                <w:tcPr>
                  <w:tcW w:w="3174" w:type="dxa"/>
                  <w:shd w:val="clear" w:color="auto" w:fill="auto"/>
                </w:tcPr>
                <w:p w14:paraId="0F6AA618" w14:textId="77777777" w:rsidR="00330E1A" w:rsidRDefault="004C43CE" w:rsidP="00A36CB7">
                  <w:pPr>
                    <w:keepNext/>
                    <w:framePr w:hSpace="180" w:wrap="around" w:vAnchor="text" w:hAnchor="page" w:x="3463" w:y="1212"/>
                    <w:spacing w:after="0" w:line="240" w:lineRule="auto"/>
                    <w:jc w:val="both"/>
                    <w:outlineLvl w:val="2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3</w:t>
                  </w:r>
                </w:p>
              </w:tc>
              <w:tc>
                <w:tcPr>
                  <w:tcW w:w="2350" w:type="dxa"/>
                  <w:shd w:val="clear" w:color="auto" w:fill="auto"/>
                </w:tcPr>
                <w:p w14:paraId="0972A703" w14:textId="77777777" w:rsidR="00330E1A" w:rsidRDefault="004C43CE" w:rsidP="00A36CB7">
                  <w:pPr>
                    <w:framePr w:hSpace="180" w:wrap="around" w:vAnchor="text" w:hAnchor="page" w:x="3463" w:y="1212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bs-Latn-BA"/>
                    </w:rPr>
                    <w:t>100%</w:t>
                  </w:r>
                </w:p>
              </w:tc>
            </w:tr>
          </w:tbl>
          <w:p w14:paraId="0AFD4370" w14:textId="77777777" w:rsidR="00330E1A" w:rsidRDefault="00330E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bs-Latn-BA"/>
              </w:rPr>
            </w:pPr>
          </w:p>
        </w:tc>
      </w:tr>
      <w:tr w:rsidR="00330E1A" w14:paraId="21FC1E4C" w14:textId="77777777">
        <w:trPr>
          <w:trHeight w:val="288"/>
        </w:trPr>
        <w:tc>
          <w:tcPr>
            <w:tcW w:w="91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E2B9D" w14:textId="019EFF2B" w:rsidR="00330E1A" w:rsidRDefault="00A36CB7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bs-Latn-BA"/>
              </w:rPr>
              <w:t>Ispit se odvija pismeno i/ili usmeno.</w:t>
            </w:r>
          </w:p>
        </w:tc>
      </w:tr>
    </w:tbl>
    <w:p w14:paraId="6023119D" w14:textId="77777777" w:rsidR="00330E1A" w:rsidRDefault="00330E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7A33B" w14:textId="77777777" w:rsidR="00330E1A" w:rsidRDefault="00330E1A">
      <w:pPr>
        <w:jc w:val="both"/>
      </w:pPr>
    </w:p>
    <w:p w14:paraId="6EEDD730" w14:textId="77777777" w:rsidR="00330E1A" w:rsidRDefault="00330E1A"/>
    <w:p w14:paraId="35653497" w14:textId="77777777" w:rsidR="00330E1A" w:rsidRDefault="00330E1A"/>
    <w:p w14:paraId="069F4AEB" w14:textId="77777777" w:rsidR="00330E1A" w:rsidRDefault="00330E1A"/>
    <w:p w14:paraId="2809C67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A101D80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486F8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EC229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F8589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B6A9EB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57F65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9297C2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D4EF2E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2E87B60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D1C62D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AC7DF2" w14:textId="77777777" w:rsidR="00330E1A" w:rsidRDefault="004C43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Literatura:</w:t>
      </w:r>
    </w:p>
    <w:tbl>
      <w:tblPr>
        <w:tblpPr w:leftFromText="180" w:rightFromText="180" w:vertAnchor="text" w:horzAnchor="page" w:tblpX="3358" w:tblpY="362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20"/>
      </w:tblGrid>
      <w:tr w:rsidR="00330E1A" w14:paraId="4CF06C3C" w14:textId="77777777">
        <w:tc>
          <w:tcPr>
            <w:tcW w:w="1668" w:type="dxa"/>
            <w:shd w:val="clear" w:color="auto" w:fill="auto"/>
          </w:tcPr>
          <w:p w14:paraId="79687F55" w14:textId="77777777" w:rsidR="00330E1A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Međunarodno finansijsko pravo</w:t>
            </w:r>
          </w:p>
        </w:tc>
        <w:tc>
          <w:tcPr>
            <w:tcW w:w="7620" w:type="dxa"/>
            <w:shd w:val="clear" w:color="auto" w:fill="auto"/>
          </w:tcPr>
          <w:p w14:paraId="38E9D897" w14:textId="77777777" w:rsidR="00330E1A" w:rsidRPr="00BC0FBC" w:rsidRDefault="004C43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 xml:space="preserve">Dautbašić Ismet: </w:t>
            </w:r>
            <w:r w:rsidRPr="00BC0FBC">
              <w:rPr>
                <w:rFonts w:ascii="Times New Roman" w:hAnsi="Times New Roman" w:cs="Times New Roman"/>
                <w:b/>
                <w:bCs/>
              </w:rPr>
              <w:t>Finansije i finanasijsko pravo</w:t>
            </w:r>
            <w:r>
              <w:rPr>
                <w:rFonts w:ascii="Times New Roman" w:hAnsi="Times New Roman" w:cs="Times New Roman"/>
                <w:bCs/>
              </w:rPr>
              <w:t xml:space="preserve">, VII- izdanje, Magistrat, Sarajevo, 2004. - </w:t>
            </w:r>
            <w:r w:rsidRPr="00BC0FBC">
              <w:rPr>
                <w:rFonts w:ascii="Times New Roman" w:hAnsi="Times New Roman" w:cs="Times New Roman"/>
                <w:b/>
              </w:rPr>
              <w:t>poglavlja - međunarodno dvostruko oporezivanje i carine</w:t>
            </w:r>
          </w:p>
          <w:p w14:paraId="7E26E44E" w14:textId="77777777" w:rsidR="00330E1A" w:rsidRPr="00BC0FBC" w:rsidRDefault="004C43C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Paunović Sanja: Uloga Međunarodnog monetarnog fonda u savremenoj ekonomskoj krizi, Savez samostalnih sindikata Srbije, Beograd, 2011.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 odabrana poglavlja.</w:t>
            </w:r>
          </w:p>
          <w:p w14:paraId="3511812B" w14:textId="77777777" w:rsidR="00330E1A" w:rsidRPr="00BC0FBC" w:rsidRDefault="004C43CE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Ristić Žarko, Ristić Kristijan: </w:t>
            </w:r>
            <w:r>
              <w:rPr>
                <w:rFonts w:ascii="Times New Roman" w:hAnsi="Times New Roman" w:cs="Times New Roman"/>
              </w:rPr>
              <w:t xml:space="preserve">Međunarodne javne finansije i budžetska politika Evropske unije, </w:t>
            </w:r>
            <w:r>
              <w:rPr>
                <w:rFonts w:ascii="Times New Roman" w:hAnsi="Times New Roman" w:cs="Times New Roman"/>
                <w:bCs/>
              </w:rPr>
              <w:t xml:space="preserve">II-izdanje, Etnostil, Beograd, 2016. </w:t>
            </w:r>
            <w:r w:rsidRPr="00BC0FBC">
              <w:rPr>
                <w:rFonts w:ascii="Times New Roman" w:hAnsi="Times New Roman" w:cs="Times New Roman"/>
                <w:bCs/>
                <w:i/>
                <w:iCs/>
              </w:rPr>
              <w:t>- odabrana poglavlja</w:t>
            </w:r>
          </w:p>
          <w:p w14:paraId="7B9519C5" w14:textId="77777777" w:rsidR="00330E1A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Issues in International Taxation and the Role of IMF</w:t>
            </w:r>
            <w:r>
              <w:rPr>
                <w:rFonts w:ascii="Times New Roman" w:hAnsi="Times New Roman" w:cs="Times New Roman"/>
                <w:bCs/>
              </w:rPr>
              <w:t xml:space="preserve"> - executive summary (Keen Michael and Perry Victoria), IMF, 2013.</w:t>
            </w:r>
          </w:p>
          <w:p w14:paraId="41CBC5A9" w14:textId="77777777" w:rsidR="00BC0FBC" w:rsidRDefault="004C43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Lončarić-Horvat Olivera i Arbutina Hrvoje: </w:t>
            </w:r>
            <w:r>
              <w:rPr>
                <w:rFonts w:ascii="Times New Roman" w:hAnsi="Times New Roman" w:cs="Times New Roman"/>
                <w:bCs/>
              </w:rPr>
              <w:t>Osnove međunarodnog poreznog prava</w:t>
            </w:r>
            <w:r>
              <w:rPr>
                <w:rFonts w:ascii="Times New Roman" w:hAnsi="Times New Roman" w:cs="Times New Roman"/>
              </w:rPr>
              <w:t xml:space="preserve">, Narodne novine, Zagreb, 2007.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odabrana poglavlja</w:t>
            </w:r>
            <w:r w:rsidR="00BC0FBC">
              <w:rPr>
                <w:rFonts w:ascii="Times New Roman" w:hAnsi="Times New Roman" w:cs="Times New Roman"/>
              </w:rPr>
              <w:t xml:space="preserve"> </w:t>
            </w:r>
          </w:p>
          <w:p w14:paraId="220AA1E4" w14:textId="416ABB76" w:rsidR="00330E1A" w:rsidRDefault="00BC0F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Šimović J., Šimović H.: </w:t>
            </w:r>
            <w:r>
              <w:rPr>
                <w:rFonts w:ascii="Times New Roman" w:hAnsi="Times New Roman" w:cs="Times New Roman"/>
                <w:bCs/>
              </w:rPr>
              <w:t>Fiskalni sustav i fiskalna politika Europske unije</w:t>
            </w:r>
            <w:r>
              <w:rPr>
                <w:rFonts w:ascii="Times New Roman" w:hAnsi="Times New Roman" w:cs="Times New Roman"/>
              </w:rPr>
              <w:t xml:space="preserve">, Pravni fakultet Sveučilišta u Zagrebu, Zagreb, 2006. </w:t>
            </w:r>
            <w:r w:rsidRPr="00BC0FBC">
              <w:rPr>
                <w:rFonts w:ascii="Times New Roman" w:hAnsi="Times New Roman" w:cs="Times New Roman"/>
                <w:i/>
                <w:iCs/>
              </w:rPr>
              <w:t>- odabrana poglavlja</w:t>
            </w:r>
          </w:p>
          <w:p w14:paraId="36A67A41" w14:textId="041DD1A5" w:rsidR="00BC0FBC" w:rsidRPr="00BC0FBC" w:rsidRDefault="00BC0FBC">
            <w:pPr>
              <w:rPr>
                <w:rFonts w:ascii="Times New Roman" w:hAnsi="Times New Roman" w:cs="Times New Roman"/>
                <w:b/>
                <w:bCs/>
              </w:rPr>
            </w:pPr>
            <w:r w:rsidRPr="00BC0FBC">
              <w:rPr>
                <w:rFonts w:ascii="Times New Roman" w:hAnsi="Times New Roman" w:cs="Times New Roman"/>
                <w:b/>
                <w:bCs/>
              </w:rPr>
              <w:t>Članci:</w:t>
            </w:r>
          </w:p>
          <w:p w14:paraId="0CF15D1B" w14:textId="77777777" w:rsidR="00330E1A" w:rsidRPr="00BC0FBC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>Gnjatović Dragana: Fiskalna integracija u Evropskoj uniji, u: Bankarstvo, god. 42, br. 5 (2013), str. 14-29.</w:t>
            </w:r>
          </w:p>
          <w:p w14:paraId="228D8DE8" w14:textId="77777777" w:rsidR="00330E1A" w:rsidRPr="00BC0FBC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>Mijatović, Nikola: Usklađivanje poreza pod okriljem Europske unije, u: Hrvatska Pravna Revija, 2010; X(3):43-55.</w:t>
            </w:r>
          </w:p>
          <w:p w14:paraId="40BE120C" w14:textId="77777777" w:rsidR="00330E1A" w:rsidRDefault="004C43C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C0FBC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Miletić Vesna: Promene direktnih i indirektnih poreskih oblika u procesu reformi finansijskog sistema Evropske unije, u:_Megatrend revija, Vol. 12, no. 1 (2015), str. 85-103. </w:t>
            </w:r>
          </w:p>
          <w:p w14:paraId="0CFDE66D" w14:textId="77777777" w:rsid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Dopunska i alternativna literatura:</w:t>
            </w:r>
          </w:p>
          <w:p w14:paraId="51D6281B" w14:textId="208442A8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Doernberg, L. Richard, Međunarodno oporezivanje u sažetom obliku, Magistrat i COLPI, Sarajevo, 1999.</w:t>
            </w:r>
          </w:p>
          <w:p w14:paraId="1FCD7B96" w14:textId="5291405F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Kovač Oskar: Međunarodne finansije, Ekonomski fakultet, Beograd, 2003. </w:t>
            </w:r>
          </w:p>
          <w:p w14:paraId="290AF2EC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Marković Ž. Danilo, Ilić B. Bogdan i Ristić L. Žarko: Globalna ekonomija - globalizacija, nova ekonomija, geofinansije, Etnostil, Beograd, 2012. </w:t>
            </w:r>
          </w:p>
          <w:p w14:paraId="241621E0" w14:textId="5DCA32C4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Mijatović, Nikola; P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erić</w:t>
            </w: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 xml:space="preserve">, Renata, and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Lerman</w:t>
            </w: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, Biljana, Proračunska pitanja EU - preispitivanje financijske autonomije. Pravo i Porezi. 2012; XXI(12):66-73.</w:t>
            </w:r>
          </w:p>
          <w:p w14:paraId="001E5590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Nikolić, Aleksandra, Evropske javne finansije i budžet Evropske unije, Novi Sad: Privredna akademija; 2008.</w:t>
            </w:r>
          </w:p>
          <w:p w14:paraId="26C517DB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hr-HR"/>
              </w:rPr>
              <w:t>Članci</w:t>
            </w:r>
          </w:p>
          <w:p w14:paraId="7230FC48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Bačić, Petar and Bačić, Krešimir, Značaj prava WTO-a za suvremeno transnacionalno gospodarstvo, Aktualnosti Građanskog i Trgovačkog Zakonodavstva i Pravne Prakse: Zbornik Radova. 2011; (9):268-279.</w:t>
            </w:r>
          </w:p>
          <w:p w14:paraId="5C4B4892" w14:textId="77777777" w:rsidR="00C30AEC" w:rsidRPr="00C30AE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Klarić, Mirko, Porez na dodanu vrijednost u elektroničkoj trgovini EU, Pravo i Porezi. 2004;  XIII(12):66-69.</w:t>
            </w:r>
          </w:p>
          <w:p w14:paraId="5EAA78FD" w14:textId="4F2BF0F7" w:rsidR="00C30AEC" w:rsidRPr="00BC0FBC" w:rsidRDefault="00C30AEC" w:rsidP="00C30AE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30AEC">
              <w:rPr>
                <w:rFonts w:ascii="Times New Roman" w:hAnsi="Times New Roman" w:cs="Times New Roman"/>
                <w:b/>
                <w:bCs/>
                <w:i/>
                <w:iCs/>
                <w:lang w:val="it-IT"/>
              </w:rPr>
              <w:t>Lučev, Josip, Ekonomija i ideologija: slučaj Međunarodnog monetarnog fond,. Politička Misao, 2010; 47(4):79-92</w:t>
            </w:r>
          </w:p>
        </w:tc>
      </w:tr>
    </w:tbl>
    <w:p w14:paraId="3E7509F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0C5692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61F2F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FB28BA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A3652B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6D1FF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08F4F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36D391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5F43E8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BCFA23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D50F4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BB79BF6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E71AA9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F6AD9F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36F79A3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9A49FD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155EB5" w14:textId="77777777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DEF988" w14:textId="5B9E9F01" w:rsidR="00330E1A" w:rsidRDefault="00330E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46C1B4" w14:textId="77777777" w:rsidR="00C30AEC" w:rsidRDefault="00C30A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179D97" w14:textId="77777777" w:rsidR="00330E1A" w:rsidRDefault="004C43C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Izvedbeni plan</w:t>
      </w:r>
    </w:p>
    <w:p w14:paraId="2C0572C3" w14:textId="7DE1D468" w:rsidR="00330E1A" w:rsidRDefault="004C43CE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i/>
          <w:sz w:val="24"/>
          <w:szCs w:val="24"/>
        </w:rPr>
        <w:t>IV godina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br/>
        <w:t>Međunarodno finansijsko pravo – obavezni predmet akademska 20</w:t>
      </w:r>
      <w:r w:rsidR="00C30AEC">
        <w:rPr>
          <w:rFonts w:ascii="Cambria" w:eastAsia="Times New Roman" w:hAnsi="Cambria" w:cs="Times New Roman"/>
          <w:b/>
          <w:i/>
          <w:sz w:val="24"/>
          <w:szCs w:val="24"/>
        </w:rPr>
        <w:t>20/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t>2</w:t>
      </w:r>
      <w:r w:rsidR="00C30AEC">
        <w:rPr>
          <w:rFonts w:ascii="Cambria" w:eastAsia="Times New Roman" w:hAnsi="Cambria" w:cs="Times New Roman"/>
          <w:b/>
          <w:i/>
          <w:sz w:val="24"/>
          <w:szCs w:val="24"/>
        </w:rPr>
        <w:t>1</w:t>
      </w:r>
      <w:r>
        <w:rPr>
          <w:rFonts w:ascii="Cambria" w:eastAsia="Times New Roman" w:hAnsi="Cambria" w:cs="Times New Roman"/>
          <w:b/>
          <w:i/>
          <w:sz w:val="24"/>
          <w:szCs w:val="24"/>
        </w:rPr>
        <w:t xml:space="preserve"> godina</w:t>
      </w:r>
    </w:p>
    <w:tbl>
      <w:tblPr>
        <w:tblpPr w:leftFromText="180" w:rightFromText="180" w:vertAnchor="text" w:horzAnchor="page" w:tblpX="3328" w:tblpY="1868"/>
        <w:tblOverlap w:val="never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096"/>
        <w:gridCol w:w="2126"/>
      </w:tblGrid>
      <w:tr w:rsidR="00330E1A" w14:paraId="6E134F9F" w14:textId="77777777">
        <w:trPr>
          <w:trHeight w:val="96"/>
        </w:trPr>
        <w:tc>
          <w:tcPr>
            <w:tcW w:w="1701" w:type="dxa"/>
          </w:tcPr>
          <w:p w14:paraId="68107290" w14:textId="77777777" w:rsidR="00330E1A" w:rsidRDefault="004C43C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Semestralna sedmica</w:t>
            </w:r>
          </w:p>
        </w:tc>
        <w:tc>
          <w:tcPr>
            <w:tcW w:w="6096" w:type="dxa"/>
          </w:tcPr>
          <w:p w14:paraId="5A07E25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Teme</w:t>
            </w:r>
          </w:p>
        </w:tc>
        <w:tc>
          <w:tcPr>
            <w:tcW w:w="2126" w:type="dxa"/>
          </w:tcPr>
          <w:p w14:paraId="7B831040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Broj časova</w:t>
            </w:r>
          </w:p>
        </w:tc>
      </w:tr>
      <w:tr w:rsidR="00330E1A" w14:paraId="4D971BEF" w14:textId="77777777">
        <w:trPr>
          <w:trHeight w:val="96"/>
        </w:trPr>
        <w:tc>
          <w:tcPr>
            <w:tcW w:w="1701" w:type="dxa"/>
          </w:tcPr>
          <w:p w14:paraId="75E28803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E88C1A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</w:t>
            </w:r>
          </w:p>
        </w:tc>
        <w:tc>
          <w:tcPr>
            <w:tcW w:w="6096" w:type="dxa"/>
          </w:tcPr>
          <w:p w14:paraId="2F7A8A39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Uvodno predavanje, upoznavanje sa načinom rada, načinom ocjenjivanja, nastavnim sadržajem, predmetom izučavanja Međunarodnog finansijskog prava</w:t>
            </w:r>
          </w:p>
        </w:tc>
        <w:tc>
          <w:tcPr>
            <w:tcW w:w="2126" w:type="dxa"/>
          </w:tcPr>
          <w:p w14:paraId="0B158307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350609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1B851F9" w14:textId="77777777">
        <w:trPr>
          <w:trHeight w:val="102"/>
        </w:trPr>
        <w:tc>
          <w:tcPr>
            <w:tcW w:w="1701" w:type="dxa"/>
          </w:tcPr>
          <w:p w14:paraId="391782C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601F0A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II</w:t>
            </w:r>
          </w:p>
        </w:tc>
        <w:tc>
          <w:tcPr>
            <w:tcW w:w="6096" w:type="dxa"/>
          </w:tcPr>
          <w:p w14:paraId="237A0C03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Pojam, nastanak i historijski razvoj finansijskog i međunarodnog finansijskog prava; Međunarodni finansijski tokovi i odnosi.Izvori međunarodnog finansijskog prava; Odnos međunarodnog finansijskog prava sa drugim granama prava;</w:t>
            </w: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 xml:space="preserve"> Principi međunarodnog finansijskog prava</w:t>
            </w:r>
          </w:p>
        </w:tc>
        <w:tc>
          <w:tcPr>
            <w:tcW w:w="2126" w:type="dxa"/>
          </w:tcPr>
          <w:p w14:paraId="1C2BA4A9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158AB8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C17A7A1" w14:textId="77777777">
        <w:trPr>
          <w:trHeight w:val="96"/>
        </w:trPr>
        <w:tc>
          <w:tcPr>
            <w:tcW w:w="1701" w:type="dxa"/>
          </w:tcPr>
          <w:p w14:paraId="272D9CB1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BE106F9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III</w:t>
            </w:r>
          </w:p>
        </w:tc>
        <w:tc>
          <w:tcPr>
            <w:tcW w:w="6096" w:type="dxa"/>
          </w:tcPr>
          <w:p w14:paraId="22D53BA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Međunarodno dvostruko oporezivanje i njegovo izbjegavanje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 xml:space="preserve"> </w:t>
            </w:r>
          </w:p>
        </w:tc>
        <w:tc>
          <w:tcPr>
            <w:tcW w:w="2126" w:type="dxa"/>
          </w:tcPr>
          <w:p w14:paraId="695F1EA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128FA5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02CB6F39" w14:textId="77777777">
        <w:trPr>
          <w:trHeight w:val="96"/>
        </w:trPr>
        <w:tc>
          <w:tcPr>
            <w:tcW w:w="1701" w:type="dxa"/>
          </w:tcPr>
          <w:p w14:paraId="528699C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0C6B89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IV</w:t>
            </w:r>
          </w:p>
        </w:tc>
        <w:tc>
          <w:tcPr>
            <w:tcW w:w="6096" w:type="dxa"/>
          </w:tcPr>
          <w:p w14:paraId="32A4E8C7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Porezi u međunarodnom finansijskom pravu – porezna konkurencija I harmonizacija</w:t>
            </w:r>
          </w:p>
        </w:tc>
        <w:tc>
          <w:tcPr>
            <w:tcW w:w="2126" w:type="dxa"/>
          </w:tcPr>
          <w:p w14:paraId="7B82E54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7A367A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CC9B840" w14:textId="77777777">
        <w:trPr>
          <w:trHeight w:val="96"/>
        </w:trPr>
        <w:tc>
          <w:tcPr>
            <w:tcW w:w="1701" w:type="dxa"/>
          </w:tcPr>
          <w:p w14:paraId="5176881E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B50B96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</w:t>
            </w:r>
          </w:p>
        </w:tc>
        <w:tc>
          <w:tcPr>
            <w:tcW w:w="6096" w:type="dxa"/>
          </w:tcPr>
          <w:p w14:paraId="72E5480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poreza u Evropskoj uniji</w:t>
            </w:r>
          </w:p>
          <w:p w14:paraId="61085947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direktnih poreza</w:t>
            </w:r>
          </w:p>
          <w:p w14:paraId="1855F00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Harmonizacija indirektnih poreza</w:t>
            </w:r>
          </w:p>
        </w:tc>
        <w:tc>
          <w:tcPr>
            <w:tcW w:w="2126" w:type="dxa"/>
          </w:tcPr>
          <w:p w14:paraId="33E52FD4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7A68AD3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81AEDF1" w14:textId="77777777">
        <w:trPr>
          <w:trHeight w:val="96"/>
        </w:trPr>
        <w:tc>
          <w:tcPr>
            <w:tcW w:w="1701" w:type="dxa"/>
          </w:tcPr>
          <w:p w14:paraId="01AE3B9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1431604F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VI</w:t>
            </w:r>
          </w:p>
        </w:tc>
        <w:tc>
          <w:tcPr>
            <w:tcW w:w="6096" w:type="dxa"/>
          </w:tcPr>
          <w:p w14:paraId="4548769E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  <w:lang w:eastAsia="bs-Latn-BA"/>
              </w:rPr>
              <w:t>Carine u međunarodnom finansijskom pravu;</w:t>
            </w:r>
          </w:p>
          <w:p w14:paraId="07FB538F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 xml:space="preserve">Pripreme za parcijalni ispit </w:t>
            </w:r>
          </w:p>
        </w:tc>
        <w:tc>
          <w:tcPr>
            <w:tcW w:w="2126" w:type="dxa"/>
          </w:tcPr>
          <w:p w14:paraId="4FC1455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48E749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402C507" w14:textId="77777777">
        <w:trPr>
          <w:trHeight w:val="96"/>
        </w:trPr>
        <w:tc>
          <w:tcPr>
            <w:tcW w:w="1701" w:type="dxa"/>
          </w:tcPr>
          <w:p w14:paraId="2C26F56B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DA1CC8E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  <w:t>VII</w:t>
            </w:r>
          </w:p>
        </w:tc>
        <w:tc>
          <w:tcPr>
            <w:tcW w:w="6096" w:type="dxa"/>
          </w:tcPr>
          <w:p w14:paraId="733156BF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 xml:space="preserve">I parcijalni ispit </w:t>
            </w:r>
          </w:p>
        </w:tc>
        <w:tc>
          <w:tcPr>
            <w:tcW w:w="2126" w:type="dxa"/>
          </w:tcPr>
          <w:p w14:paraId="46D9E4A2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3024EF7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6A8732B7" w14:textId="77777777">
        <w:trPr>
          <w:trHeight w:val="96"/>
        </w:trPr>
        <w:tc>
          <w:tcPr>
            <w:tcW w:w="1701" w:type="dxa"/>
          </w:tcPr>
          <w:p w14:paraId="494D6480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VIII</w:t>
            </w:r>
          </w:p>
        </w:tc>
        <w:tc>
          <w:tcPr>
            <w:tcW w:w="6096" w:type="dxa"/>
          </w:tcPr>
          <w:p w14:paraId="39155CD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Evropski monetarni sistem EMU</w:t>
            </w:r>
          </w:p>
        </w:tc>
        <w:tc>
          <w:tcPr>
            <w:tcW w:w="2126" w:type="dxa"/>
          </w:tcPr>
          <w:p w14:paraId="03986660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89C2D6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82C87BA" w14:textId="77777777">
        <w:trPr>
          <w:trHeight w:val="96"/>
        </w:trPr>
        <w:tc>
          <w:tcPr>
            <w:tcW w:w="1701" w:type="dxa"/>
          </w:tcPr>
          <w:p w14:paraId="5FB1964E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IX</w:t>
            </w:r>
          </w:p>
        </w:tc>
        <w:tc>
          <w:tcPr>
            <w:tcW w:w="6096" w:type="dxa"/>
          </w:tcPr>
          <w:p w14:paraId="3AE029E5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ECB i  Euro</w:t>
            </w:r>
          </w:p>
        </w:tc>
        <w:tc>
          <w:tcPr>
            <w:tcW w:w="2126" w:type="dxa"/>
          </w:tcPr>
          <w:p w14:paraId="44B3FDD3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81D5401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19C6D1C0" w14:textId="77777777">
        <w:trPr>
          <w:trHeight w:val="96"/>
        </w:trPr>
        <w:tc>
          <w:tcPr>
            <w:tcW w:w="1701" w:type="dxa"/>
          </w:tcPr>
          <w:p w14:paraId="4F5FAA7C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</w:t>
            </w:r>
          </w:p>
        </w:tc>
        <w:tc>
          <w:tcPr>
            <w:tcW w:w="6096" w:type="dxa"/>
          </w:tcPr>
          <w:p w14:paraId="241C2E91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Kriteriji ekonomske konvergencije</w:t>
            </w:r>
          </w:p>
        </w:tc>
        <w:tc>
          <w:tcPr>
            <w:tcW w:w="2126" w:type="dxa"/>
          </w:tcPr>
          <w:p w14:paraId="68332A25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0DE4B37F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63F6A17E" w14:textId="77777777">
        <w:trPr>
          <w:trHeight w:val="96"/>
        </w:trPr>
        <w:tc>
          <w:tcPr>
            <w:tcW w:w="1701" w:type="dxa"/>
          </w:tcPr>
          <w:p w14:paraId="7B697894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</w:t>
            </w:r>
          </w:p>
        </w:tc>
        <w:tc>
          <w:tcPr>
            <w:tcW w:w="6096" w:type="dxa"/>
          </w:tcPr>
          <w:p w14:paraId="1843D10F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Međunarodni monetarni sistem</w:t>
            </w:r>
          </w:p>
        </w:tc>
        <w:tc>
          <w:tcPr>
            <w:tcW w:w="2126" w:type="dxa"/>
          </w:tcPr>
          <w:p w14:paraId="7CB7F9B2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38F32C48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C4480C9" w14:textId="77777777">
        <w:trPr>
          <w:trHeight w:val="96"/>
        </w:trPr>
        <w:tc>
          <w:tcPr>
            <w:tcW w:w="1701" w:type="dxa"/>
          </w:tcPr>
          <w:p w14:paraId="079E48BA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E58B4E7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XII</w:t>
            </w:r>
          </w:p>
        </w:tc>
        <w:tc>
          <w:tcPr>
            <w:tcW w:w="6096" w:type="dxa"/>
          </w:tcPr>
          <w:p w14:paraId="0C20D7A4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Međunaodni monetarni fond</w:t>
            </w:r>
          </w:p>
          <w:p w14:paraId="62FD5A4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(osnivanje, statut, ciljevi, članstvo, djelokrug, instrumenti, saradnja)</w:t>
            </w:r>
          </w:p>
        </w:tc>
        <w:tc>
          <w:tcPr>
            <w:tcW w:w="2126" w:type="dxa"/>
          </w:tcPr>
          <w:p w14:paraId="2C7C9236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201DB3D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481A83CF" w14:textId="77777777">
        <w:trPr>
          <w:trHeight w:val="96"/>
        </w:trPr>
        <w:tc>
          <w:tcPr>
            <w:tcW w:w="1701" w:type="dxa"/>
          </w:tcPr>
          <w:p w14:paraId="4B0D7FC0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5FEAD5B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XIII</w:t>
            </w:r>
          </w:p>
        </w:tc>
        <w:tc>
          <w:tcPr>
            <w:tcW w:w="6096" w:type="dxa"/>
          </w:tcPr>
          <w:p w14:paraId="4F14EB8C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Grupacija svjetske banke</w:t>
            </w:r>
          </w:p>
          <w:p w14:paraId="709D4A8D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(osnivanje afilijacija, statut, ciljevi, članstvo, djelokrug, instrumenti, saradnja)</w:t>
            </w:r>
          </w:p>
        </w:tc>
        <w:tc>
          <w:tcPr>
            <w:tcW w:w="2126" w:type="dxa"/>
          </w:tcPr>
          <w:p w14:paraId="5D41E441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3DE742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545CF09E" w14:textId="77777777">
        <w:trPr>
          <w:trHeight w:val="96"/>
        </w:trPr>
        <w:tc>
          <w:tcPr>
            <w:tcW w:w="1701" w:type="dxa"/>
          </w:tcPr>
          <w:p w14:paraId="3C3F8A4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  <w:t>XIV</w:t>
            </w:r>
          </w:p>
        </w:tc>
        <w:tc>
          <w:tcPr>
            <w:tcW w:w="6096" w:type="dxa"/>
          </w:tcPr>
          <w:p w14:paraId="6CA84C62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Regionalne finansijske institucije</w:t>
            </w:r>
          </w:p>
        </w:tc>
        <w:tc>
          <w:tcPr>
            <w:tcW w:w="2126" w:type="dxa"/>
          </w:tcPr>
          <w:p w14:paraId="0F874B35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  <w:tr w:rsidR="00330E1A" w14:paraId="2EDDBF85" w14:textId="77777777">
        <w:trPr>
          <w:trHeight w:val="102"/>
        </w:trPr>
        <w:tc>
          <w:tcPr>
            <w:tcW w:w="1701" w:type="dxa"/>
          </w:tcPr>
          <w:p w14:paraId="0C87B85D" w14:textId="77777777" w:rsidR="00330E1A" w:rsidRDefault="00330E1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4DB88EE4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u w:val="single"/>
                <w:lang w:eastAsia="bs-Latn-BA"/>
              </w:rPr>
              <w:t>XV</w:t>
            </w:r>
          </w:p>
        </w:tc>
        <w:tc>
          <w:tcPr>
            <w:tcW w:w="6096" w:type="dxa"/>
          </w:tcPr>
          <w:p w14:paraId="3C4EA921" w14:textId="77777777" w:rsidR="00330E1A" w:rsidRDefault="004C43CE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sz w:val="24"/>
                <w:szCs w:val="24"/>
                <w:lang w:eastAsia="bs-Latn-BA"/>
              </w:rPr>
              <w:t>Završna evaluacija znanja</w:t>
            </w:r>
            <w:r>
              <w:rPr>
                <w:rFonts w:ascii="Cambria" w:eastAsia="Times New Roman" w:hAnsi="Cambria" w:cs="Times New Roman"/>
                <w:bCs/>
                <w:sz w:val="24"/>
                <w:szCs w:val="24"/>
              </w:rPr>
              <w:t xml:space="preserve"> </w:t>
            </w:r>
          </w:p>
          <w:p w14:paraId="30BB2AD6" w14:textId="77777777" w:rsidR="00330E1A" w:rsidRDefault="004C43CE">
            <w:pPr>
              <w:spacing w:after="0" w:line="240" w:lineRule="auto"/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Cs/>
                <w:sz w:val="24"/>
                <w:szCs w:val="24"/>
                <w:lang w:eastAsia="bs-Latn-BA"/>
              </w:rPr>
              <w:t>II parcijalni ispit za studente koji su položili I parcijalni ispit</w:t>
            </w:r>
          </w:p>
        </w:tc>
        <w:tc>
          <w:tcPr>
            <w:tcW w:w="2126" w:type="dxa"/>
          </w:tcPr>
          <w:p w14:paraId="17671109" w14:textId="77777777" w:rsidR="00330E1A" w:rsidRDefault="00330E1A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</w:p>
          <w:p w14:paraId="68055012" w14:textId="77777777" w:rsidR="00330E1A" w:rsidRDefault="004C43CE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bs-Latn-BA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val="en-US" w:eastAsia="bs-Latn-BA"/>
              </w:rPr>
              <w:t>2+0</w:t>
            </w:r>
          </w:p>
        </w:tc>
      </w:tr>
    </w:tbl>
    <w:p w14:paraId="0C092A43" w14:textId="77777777" w:rsidR="00330E1A" w:rsidRDefault="00330E1A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</w:rPr>
      </w:pPr>
    </w:p>
    <w:p w14:paraId="56A6F0C1" w14:textId="77777777" w:rsidR="00330E1A" w:rsidRDefault="00330E1A">
      <w:pPr>
        <w:spacing w:after="0" w:line="240" w:lineRule="auto"/>
        <w:rPr>
          <w:rFonts w:ascii="Cambria" w:eastAsia="Times New Roman" w:hAnsi="Cambria" w:cs="Times New Roman"/>
          <w:b/>
          <w:i/>
          <w:sz w:val="24"/>
          <w:szCs w:val="24"/>
        </w:rPr>
      </w:pPr>
    </w:p>
    <w:p w14:paraId="5D6F0097" w14:textId="77777777" w:rsidR="00330E1A" w:rsidRDefault="00330E1A"/>
    <w:p w14:paraId="067690F4" w14:textId="77777777" w:rsidR="00330E1A" w:rsidRDefault="00330E1A"/>
    <w:p w14:paraId="0DA389EE" w14:textId="77777777" w:rsidR="00330E1A" w:rsidRDefault="00330E1A"/>
    <w:sectPr w:rsidR="00330E1A">
      <w:footerReference w:type="even" r:id="rId8"/>
      <w:footerReference w:type="default" r:id="rId9"/>
      <w:pgSz w:w="16838" w:h="11906" w:orient="landscape"/>
      <w:pgMar w:top="851" w:right="1242" w:bottom="1418" w:left="851" w:header="624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7982C" w14:textId="77777777" w:rsidR="0052272A" w:rsidRDefault="0052272A">
      <w:pPr>
        <w:spacing w:after="0" w:line="240" w:lineRule="auto"/>
      </w:pPr>
      <w:r>
        <w:separator/>
      </w:r>
    </w:p>
  </w:endnote>
  <w:endnote w:type="continuationSeparator" w:id="0">
    <w:p w14:paraId="7B6AC4B6" w14:textId="77777777" w:rsidR="0052272A" w:rsidRDefault="00522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D3E11E" w14:textId="77777777" w:rsidR="00330E1A" w:rsidRDefault="004C43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14:paraId="5B6FFAFD" w14:textId="77777777" w:rsidR="00330E1A" w:rsidRDefault="00330E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387C5" w14:textId="77777777" w:rsidR="00330E1A" w:rsidRDefault="004C43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5F6C4431" w14:textId="77777777" w:rsidR="00330E1A" w:rsidRDefault="00330E1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2CC6A1" w14:textId="77777777" w:rsidR="0052272A" w:rsidRDefault="0052272A">
      <w:pPr>
        <w:spacing w:after="0" w:line="240" w:lineRule="auto"/>
      </w:pPr>
      <w:r>
        <w:separator/>
      </w:r>
    </w:p>
  </w:footnote>
  <w:footnote w:type="continuationSeparator" w:id="0">
    <w:p w14:paraId="42D24B8C" w14:textId="77777777" w:rsidR="0052272A" w:rsidRDefault="0052272A">
      <w:pPr>
        <w:spacing w:after="0" w:line="240" w:lineRule="auto"/>
      </w:pPr>
      <w:r>
        <w:continuationSeparator/>
      </w:r>
    </w:p>
  </w:footnote>
  <w:footnote w:id="1">
    <w:p w14:paraId="6B8F4084" w14:textId="77777777" w:rsidR="00330E1A" w:rsidRDefault="004C43CE">
      <w:pPr>
        <w:pStyle w:val="FootnoteText"/>
      </w:pPr>
      <w:r>
        <w:rPr>
          <w:rStyle w:val="FootnoteReference"/>
        </w:rPr>
        <w:footnoteRef/>
      </w:r>
      <w:r>
        <w:t xml:space="preserve"> Student/ica ostvaruje najmanje 50 ℅ bodova tokom semestra.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F0398"/>
    <w:multiLevelType w:val="multilevel"/>
    <w:tmpl w:val="00EF039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38EB"/>
    <w:multiLevelType w:val="multilevel"/>
    <w:tmpl w:val="116338EB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F1DE6"/>
    <w:multiLevelType w:val="multilevel"/>
    <w:tmpl w:val="480F1DE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602"/>
    <w:rsid w:val="00286774"/>
    <w:rsid w:val="00330E1A"/>
    <w:rsid w:val="003948DE"/>
    <w:rsid w:val="003A38FD"/>
    <w:rsid w:val="004C43CE"/>
    <w:rsid w:val="004F55F3"/>
    <w:rsid w:val="005166E2"/>
    <w:rsid w:val="0052272A"/>
    <w:rsid w:val="00543A33"/>
    <w:rsid w:val="00571B07"/>
    <w:rsid w:val="00714458"/>
    <w:rsid w:val="008F4074"/>
    <w:rsid w:val="00A36CB7"/>
    <w:rsid w:val="00A96CFA"/>
    <w:rsid w:val="00BC0FBC"/>
    <w:rsid w:val="00C30AEC"/>
    <w:rsid w:val="00CE4E31"/>
    <w:rsid w:val="00CF30C5"/>
    <w:rsid w:val="00DB7C6A"/>
    <w:rsid w:val="00E44602"/>
    <w:rsid w:val="00F677E7"/>
    <w:rsid w:val="01921294"/>
    <w:rsid w:val="05EE0A84"/>
    <w:rsid w:val="175537A3"/>
    <w:rsid w:val="296A58DB"/>
    <w:rsid w:val="2AD709C9"/>
    <w:rsid w:val="34C51788"/>
    <w:rsid w:val="355328FA"/>
    <w:rsid w:val="4EBC742B"/>
    <w:rsid w:val="4EC3715C"/>
    <w:rsid w:val="541616AB"/>
    <w:rsid w:val="57D84917"/>
    <w:rsid w:val="5DC17E91"/>
    <w:rsid w:val="63B2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163FB"/>
  <w15:docId w15:val="{396423A2-314C-4BF1-94CB-5FC6FDC5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</w:style>
  <w:style w:type="character" w:customStyle="1" w:styleId="FooterChar">
    <w:name w:val="Footer Char"/>
    <w:basedOn w:val="DefaultParagraphFont"/>
    <w:link w:val="Footer"/>
    <w:uiPriority w:val="99"/>
    <w:semiHidden/>
    <w:qFormat/>
  </w:style>
  <w:style w:type="character" w:customStyle="1" w:styleId="FootnoteTextChar">
    <w:name w:val="Footnote Text Char"/>
    <w:basedOn w:val="DefaultParagraphFont"/>
    <w:link w:val="FootnoteText"/>
    <w:semiHidden/>
    <w:qFormat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table" w:customStyle="1" w:styleId="PlainTable41">
    <w:name w:val="Plain Table 41"/>
    <w:basedOn w:val="TableNormal"/>
    <w:uiPriority w:val="44"/>
    <w:qFormat/>
    <w:pPr>
      <w:spacing w:after="0" w:line="240" w:lineRule="auto"/>
    </w:p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Edina</dc:creator>
  <cp:lastModifiedBy>Edina Sudžuka</cp:lastModifiedBy>
  <cp:revision>2</cp:revision>
  <dcterms:created xsi:type="dcterms:W3CDTF">2020-11-26T18:24:00Z</dcterms:created>
  <dcterms:modified xsi:type="dcterms:W3CDTF">2020-11-26T18:24:00Z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1033-11.2.0.8991</vt:lpwstr>
  </property>
</Properties>
</file>