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6729"/>
        <w:gridCol w:w="2287"/>
      </w:tblGrid>
      <w:tr w:rsidR="00C81502" w:rsidRPr="00A01B06" w:rsidTr="00515D12">
        <w:tc>
          <w:tcPr>
            <w:tcW w:w="6729" w:type="dxa"/>
          </w:tcPr>
          <w:p w:rsidR="00C81502" w:rsidRPr="00555B16" w:rsidRDefault="00C81502" w:rsidP="00515D12">
            <w:pPr>
              <w:spacing w:line="276" w:lineRule="auto"/>
              <w:jc w:val="both"/>
              <w:rPr>
                <w:rFonts w:ascii="Times New Roman" w:hAnsi="Times New Roman" w:cs="Times New Roman"/>
                <w:b/>
                <w:sz w:val="24"/>
                <w:szCs w:val="24"/>
                <w:lang w:val="pl-PL"/>
              </w:rPr>
            </w:pPr>
            <w:r w:rsidRPr="00555B16">
              <w:rPr>
                <w:rFonts w:ascii="Times New Roman" w:hAnsi="Times New Roman" w:cs="Times New Roman"/>
                <w:b/>
                <w:sz w:val="24"/>
                <w:szCs w:val="24"/>
                <w:lang w:val="pl-PL"/>
              </w:rPr>
              <w:t>Naziv predmeta i pozicija:</w:t>
            </w:r>
          </w:p>
          <w:p w:rsidR="00C81502" w:rsidRPr="00555B16" w:rsidRDefault="00C81502" w:rsidP="00515D12">
            <w:pPr>
              <w:spacing w:line="276" w:lineRule="auto"/>
              <w:jc w:val="both"/>
              <w:rPr>
                <w:rFonts w:ascii="Times New Roman" w:hAnsi="Times New Roman" w:cs="Times New Roman"/>
                <w:b/>
                <w:sz w:val="24"/>
                <w:szCs w:val="24"/>
                <w:lang w:val="pl-PL"/>
              </w:rPr>
            </w:pPr>
            <w:r w:rsidRPr="00555B16">
              <w:rPr>
                <w:rFonts w:ascii="Times New Roman" w:hAnsi="Times New Roman" w:cs="Times New Roman"/>
                <w:b/>
                <w:sz w:val="24"/>
                <w:szCs w:val="24"/>
                <w:lang w:val="pl-PL"/>
              </w:rPr>
              <w:t>Evropsko privatno pravo</w:t>
            </w:r>
            <w:r w:rsidRPr="00555B16">
              <w:rPr>
                <w:rFonts w:ascii="Times New Roman" w:hAnsi="Times New Roman" w:cs="Times New Roman"/>
                <w:sz w:val="24"/>
                <w:szCs w:val="24"/>
                <w:lang w:val="pl-PL"/>
              </w:rPr>
              <w:t xml:space="preserve"> – izborni predmet u okviru otvorene liste izbornih predmeta II</w:t>
            </w:r>
          </w:p>
          <w:p w:rsidR="00C81502" w:rsidRPr="00555B16" w:rsidRDefault="00C81502" w:rsidP="00515D12">
            <w:pPr>
              <w:spacing w:line="276" w:lineRule="auto"/>
              <w:jc w:val="both"/>
              <w:rPr>
                <w:rFonts w:ascii="Times New Roman" w:hAnsi="Times New Roman" w:cs="Times New Roman"/>
                <w:b/>
                <w:sz w:val="24"/>
                <w:szCs w:val="24"/>
                <w:lang w:val="pl-PL"/>
              </w:rPr>
            </w:pPr>
          </w:p>
        </w:tc>
        <w:tc>
          <w:tcPr>
            <w:tcW w:w="2287" w:type="dxa"/>
          </w:tcPr>
          <w:p w:rsidR="00C81502" w:rsidRPr="00A01B06" w:rsidRDefault="00C81502" w:rsidP="00515D12">
            <w:pPr>
              <w:rPr>
                <w:rFonts w:ascii="Arial" w:hAnsi="Arial" w:cs="Arial"/>
                <w:b/>
                <w:sz w:val="24"/>
                <w:szCs w:val="24"/>
              </w:rPr>
            </w:pPr>
            <w:r>
              <w:rPr>
                <w:rFonts w:ascii="Arial" w:hAnsi="Arial" w:cs="Arial"/>
                <w:b/>
                <w:sz w:val="24"/>
                <w:szCs w:val="24"/>
              </w:rPr>
              <w:t>ECTS: 3</w:t>
            </w:r>
          </w:p>
          <w:p w:rsidR="00C81502" w:rsidRPr="00A01B06" w:rsidRDefault="00C81502" w:rsidP="00515D12">
            <w:pPr>
              <w:rPr>
                <w:rFonts w:ascii="Arial" w:hAnsi="Arial" w:cs="Arial"/>
                <w:b/>
                <w:sz w:val="24"/>
                <w:szCs w:val="24"/>
              </w:rPr>
            </w:pPr>
          </w:p>
        </w:tc>
      </w:tr>
      <w:tr w:rsidR="00C81502" w:rsidRPr="00A01B06" w:rsidTr="00515D12">
        <w:tc>
          <w:tcPr>
            <w:tcW w:w="9016" w:type="dxa"/>
            <w:gridSpan w:val="2"/>
          </w:tcPr>
          <w:p w:rsidR="00C81502" w:rsidRPr="00555B16" w:rsidRDefault="00C81502" w:rsidP="00515D12">
            <w:pPr>
              <w:spacing w:line="276" w:lineRule="auto"/>
              <w:jc w:val="both"/>
              <w:rPr>
                <w:rFonts w:ascii="Times New Roman" w:hAnsi="Times New Roman" w:cs="Times New Roman"/>
                <w:b/>
                <w:sz w:val="24"/>
                <w:szCs w:val="24"/>
              </w:rPr>
            </w:pPr>
            <w:r w:rsidRPr="00555B16">
              <w:rPr>
                <w:rFonts w:ascii="Times New Roman" w:hAnsi="Times New Roman" w:cs="Times New Roman"/>
                <w:b/>
                <w:sz w:val="24"/>
                <w:szCs w:val="24"/>
              </w:rPr>
              <w:t xml:space="preserve">Godina: </w:t>
            </w:r>
            <w:r w:rsidRPr="00555B16">
              <w:rPr>
                <w:rFonts w:ascii="Times New Roman" w:hAnsi="Times New Roman" w:cs="Times New Roman"/>
                <w:sz w:val="24"/>
                <w:szCs w:val="24"/>
              </w:rPr>
              <w:t xml:space="preserve">treća                             </w:t>
            </w:r>
            <w:r w:rsidRPr="00555B16">
              <w:rPr>
                <w:rFonts w:ascii="Times New Roman" w:hAnsi="Times New Roman" w:cs="Times New Roman"/>
                <w:b/>
                <w:sz w:val="24"/>
                <w:szCs w:val="24"/>
              </w:rPr>
              <w:t xml:space="preserve">Semestar: </w:t>
            </w:r>
            <w:r w:rsidRPr="00555B16">
              <w:rPr>
                <w:rFonts w:ascii="Times New Roman" w:hAnsi="Times New Roman" w:cs="Times New Roman"/>
                <w:sz w:val="24"/>
                <w:szCs w:val="24"/>
              </w:rPr>
              <w:t xml:space="preserve">VI      </w:t>
            </w:r>
          </w:p>
        </w:tc>
      </w:tr>
      <w:tr w:rsidR="00C81502" w:rsidRPr="00F936C6" w:rsidTr="00515D12">
        <w:tc>
          <w:tcPr>
            <w:tcW w:w="9016" w:type="dxa"/>
            <w:gridSpan w:val="2"/>
          </w:tcPr>
          <w:p w:rsidR="00C81502" w:rsidRPr="00555B16" w:rsidRDefault="00C81502" w:rsidP="00515D12">
            <w:pPr>
              <w:spacing w:line="276" w:lineRule="auto"/>
              <w:jc w:val="both"/>
              <w:rPr>
                <w:rFonts w:ascii="Times New Roman" w:hAnsi="Times New Roman" w:cs="Times New Roman"/>
                <w:b/>
                <w:sz w:val="24"/>
                <w:szCs w:val="24"/>
              </w:rPr>
            </w:pPr>
            <w:r w:rsidRPr="00555B16">
              <w:rPr>
                <w:rFonts w:ascii="Times New Roman" w:hAnsi="Times New Roman" w:cs="Times New Roman"/>
                <w:b/>
                <w:sz w:val="24"/>
                <w:szCs w:val="24"/>
              </w:rPr>
              <w:t xml:space="preserve">Odgovorni nastavnici i saradnici: </w:t>
            </w:r>
            <w:r w:rsidRPr="00555B16">
              <w:rPr>
                <w:rFonts w:ascii="Times New Roman" w:hAnsi="Times New Roman" w:cs="Times New Roman"/>
                <w:sz w:val="24"/>
                <w:szCs w:val="24"/>
              </w:rPr>
              <w:t xml:space="preserve">prof. dr. Meliha Povlakić, </w:t>
            </w:r>
            <w:r>
              <w:rPr>
                <w:rFonts w:ascii="Times New Roman" w:hAnsi="Times New Roman" w:cs="Times New Roman"/>
                <w:sz w:val="24"/>
                <w:szCs w:val="24"/>
              </w:rPr>
              <w:t xml:space="preserve">doc. </w:t>
            </w:r>
            <w:r w:rsidRPr="00555B16">
              <w:rPr>
                <w:rFonts w:ascii="Times New Roman" w:hAnsi="Times New Roman" w:cs="Times New Roman"/>
                <w:sz w:val="24"/>
                <w:szCs w:val="24"/>
              </w:rPr>
              <w:t>dr. Darja Softić</w:t>
            </w:r>
            <w:r>
              <w:rPr>
                <w:rFonts w:ascii="Times New Roman" w:hAnsi="Times New Roman" w:cs="Times New Roman"/>
                <w:sz w:val="24"/>
                <w:szCs w:val="24"/>
              </w:rPr>
              <w:t xml:space="preserve"> </w:t>
            </w:r>
            <w:r w:rsidRPr="00555B16">
              <w:rPr>
                <w:rFonts w:ascii="Times New Roman" w:hAnsi="Times New Roman" w:cs="Times New Roman"/>
                <w:sz w:val="24"/>
                <w:szCs w:val="24"/>
              </w:rPr>
              <w:t xml:space="preserve">Kadenić, LL.M Graz, </w:t>
            </w:r>
            <w:r>
              <w:rPr>
                <w:rFonts w:ascii="Times New Roman" w:hAnsi="Times New Roman" w:cs="Times New Roman"/>
                <w:sz w:val="24"/>
                <w:szCs w:val="24"/>
              </w:rPr>
              <w:t>MJur (Oxon)</w:t>
            </w:r>
            <w:r w:rsidRPr="00555B16">
              <w:rPr>
                <w:rFonts w:ascii="Times New Roman" w:hAnsi="Times New Roman" w:cs="Times New Roman"/>
                <w:sz w:val="24"/>
                <w:szCs w:val="24"/>
              </w:rPr>
              <w:t xml:space="preserve"> Selma Mezetović Međić</w:t>
            </w:r>
            <w:r>
              <w:rPr>
                <w:rFonts w:ascii="Times New Roman" w:hAnsi="Times New Roman" w:cs="Times New Roman"/>
                <w:sz w:val="24"/>
                <w:szCs w:val="24"/>
              </w:rPr>
              <w:t xml:space="preserve">, MA iur, MA Nasir Muftić </w:t>
            </w:r>
          </w:p>
        </w:tc>
      </w:tr>
      <w:tr w:rsidR="00C81502" w:rsidRPr="00F936C6" w:rsidTr="00515D12">
        <w:tc>
          <w:tcPr>
            <w:tcW w:w="9016" w:type="dxa"/>
            <w:gridSpan w:val="2"/>
          </w:tcPr>
          <w:p w:rsidR="00C81502" w:rsidRPr="00C81502" w:rsidRDefault="00C81502" w:rsidP="00515D12">
            <w:pPr>
              <w:spacing w:line="276" w:lineRule="auto"/>
              <w:jc w:val="both"/>
              <w:rPr>
                <w:rFonts w:ascii="Times New Roman" w:hAnsi="Times New Roman" w:cs="Times New Roman"/>
                <w:sz w:val="24"/>
                <w:szCs w:val="24"/>
                <w:lang w:val="bs-Latn-BA"/>
              </w:rPr>
            </w:pPr>
            <w:r w:rsidRPr="00C81502">
              <w:rPr>
                <w:rFonts w:ascii="Times New Roman" w:hAnsi="Times New Roman" w:cs="Times New Roman"/>
                <w:b/>
                <w:sz w:val="24"/>
                <w:szCs w:val="24"/>
                <w:lang w:val="bs-Latn-BA"/>
              </w:rPr>
              <w:t xml:space="preserve">Kontakt sati: </w:t>
            </w:r>
            <w:r w:rsidRPr="00C81502">
              <w:rPr>
                <w:rFonts w:ascii="Times New Roman" w:hAnsi="Times New Roman" w:cs="Times New Roman"/>
                <w:sz w:val="24"/>
                <w:szCs w:val="24"/>
                <w:lang w:val="bs-Latn-BA"/>
              </w:rPr>
              <w:t>sedmično/ukupno</w:t>
            </w:r>
          </w:p>
          <w:p w:rsidR="00C81502" w:rsidRPr="00C81502" w:rsidRDefault="00C81502" w:rsidP="00515D12">
            <w:pPr>
              <w:spacing w:line="276" w:lineRule="auto"/>
              <w:jc w:val="both"/>
              <w:rPr>
                <w:rFonts w:ascii="Times New Roman" w:hAnsi="Times New Roman" w:cs="Times New Roman"/>
                <w:sz w:val="24"/>
                <w:szCs w:val="24"/>
                <w:lang w:val="bs-Latn-BA"/>
              </w:rPr>
            </w:pPr>
            <w:r w:rsidRPr="00C81502">
              <w:rPr>
                <w:rFonts w:ascii="Times New Roman" w:hAnsi="Times New Roman" w:cs="Times New Roman"/>
                <w:sz w:val="24"/>
                <w:szCs w:val="24"/>
                <w:lang w:val="bs-Latn-BA"/>
              </w:rPr>
              <w:t>predavanja: 2/30       konsultacije: 1/15</w:t>
            </w:r>
          </w:p>
        </w:tc>
      </w:tr>
      <w:tr w:rsidR="00C81502" w:rsidRPr="00F936C6" w:rsidTr="00515D12">
        <w:tc>
          <w:tcPr>
            <w:tcW w:w="9016" w:type="dxa"/>
            <w:gridSpan w:val="2"/>
          </w:tcPr>
          <w:p w:rsidR="00C81502" w:rsidRPr="00C81502" w:rsidRDefault="00C81502" w:rsidP="00515D12">
            <w:pPr>
              <w:autoSpaceDE w:val="0"/>
              <w:autoSpaceDN w:val="0"/>
              <w:adjustRightInd w:val="0"/>
              <w:spacing w:line="276" w:lineRule="auto"/>
              <w:jc w:val="both"/>
              <w:rPr>
                <w:rFonts w:ascii="Times New Roman" w:hAnsi="Times New Roman" w:cs="Times New Roman"/>
                <w:b/>
                <w:bCs/>
                <w:i/>
                <w:iCs/>
                <w:sz w:val="24"/>
                <w:szCs w:val="24"/>
                <w:lang w:val="bs-Latn-BA"/>
              </w:rPr>
            </w:pPr>
            <w:r w:rsidRPr="00C81502">
              <w:rPr>
                <w:rFonts w:ascii="Times New Roman" w:hAnsi="Times New Roman" w:cs="Times New Roman"/>
                <w:b/>
                <w:bCs/>
                <w:i/>
                <w:iCs/>
                <w:sz w:val="24"/>
                <w:szCs w:val="24"/>
                <w:lang w:val="bs-Latn-BA"/>
              </w:rPr>
              <w:t>Ciljevi i očekivani rezultati:</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r w:rsidRPr="00C81502">
              <w:rPr>
                <w:rFonts w:ascii="Times New Roman" w:eastAsia="TimesNewRomanPSMT" w:hAnsi="Times New Roman" w:cs="Times New Roman"/>
                <w:sz w:val="24"/>
                <w:szCs w:val="24"/>
                <w:lang w:val="bs-Latn-BA"/>
              </w:rPr>
              <w:t>Cilj predmeta Evropsko privatno pravo je dati studentima pregled dosadašnjeg razvoja privatnog prava Evropske Unije, problema koje stoje na putu stvaranja jedinstvenog evropskog privatnog prava odnosno harmonizacije evropskog privatnog prava, kao i dati prikaz perspektiva razvoja. Student će dobiti osnovne informacije o sekundarnim izvorima prava u oblasti privatnog prava.</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r w:rsidRPr="00C81502">
              <w:rPr>
                <w:rFonts w:ascii="Times New Roman" w:eastAsia="TimesNewRomanPSMT" w:hAnsi="Times New Roman" w:cs="Times New Roman"/>
                <w:sz w:val="24"/>
                <w:szCs w:val="24"/>
                <w:lang w:val="bs-Latn-BA"/>
              </w:rPr>
              <w:t xml:space="preserve">Student treba da razumije razloge za dosadašnji fragmentarni („pointilistički“) razvoj mjera za ujednačavanje privatnog prava, zašto su mjere izraženije u oblastima privatnog prava koje su od posebnog značaja za funkcioniranje unutarnjeg tržišta, te da razumije osnovna načela privatnog prava EU. </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r w:rsidRPr="00C81502">
              <w:rPr>
                <w:rFonts w:ascii="Times New Roman" w:eastAsia="TimesNewRomanPSMT" w:hAnsi="Times New Roman" w:cs="Times New Roman"/>
                <w:sz w:val="24"/>
                <w:szCs w:val="24"/>
                <w:lang w:val="bs-Latn-BA"/>
              </w:rPr>
              <w:t>Studenti treba da steknu uvid u pojedine oblasti privatnog prava EU, pri čemu će radi stjecanja cjelovite slike studentima biti date osnovne informacije o pojedinim oblastima evropskog privatnog prava (evropsko ugovorno pravo, pravo zaštite potrošača, koliziono i međunarodno procesno pravo EU, evropsko pravo intelektualnog vlasništva, EU pravo društava, nasljedno pravo, porodično pravo itd.). Koliko će se duboko izučavati pojedina oblast zavisiće od toga da li studenti paralelno pohađaju neki opcioni predmet koji za predmet ima određenu oblast evropskog privatnog prava.</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p>
          <w:p w:rsidR="00C81502" w:rsidRPr="00C81502" w:rsidRDefault="00C81502" w:rsidP="00515D12">
            <w:pPr>
              <w:autoSpaceDE w:val="0"/>
              <w:autoSpaceDN w:val="0"/>
              <w:adjustRightInd w:val="0"/>
              <w:spacing w:line="276" w:lineRule="auto"/>
              <w:jc w:val="both"/>
              <w:rPr>
                <w:rFonts w:ascii="Times New Roman" w:hAnsi="Times New Roman" w:cs="Times New Roman"/>
                <w:b/>
                <w:sz w:val="24"/>
                <w:szCs w:val="24"/>
                <w:lang w:val="bs-Latn-BA"/>
              </w:rPr>
            </w:pPr>
            <w:r w:rsidRPr="00C81502">
              <w:rPr>
                <w:rFonts w:ascii="Times New Roman" w:eastAsia="TimesNewRomanPSMT" w:hAnsi="Times New Roman" w:cs="Times New Roman"/>
                <w:sz w:val="24"/>
                <w:szCs w:val="24"/>
                <w:lang w:val="bs-Latn-BA"/>
              </w:rPr>
              <w:t>Naglasak će biti na evropskom ugovornom i potrošačkom pravu; analiza akata i sudskih odluka će biti vezana za ovu oblast prava. Biće razmatrano u kojoj je mjeri pravo BiH usklađeno u ovoj oblasti sa pravom EU.</w:t>
            </w:r>
          </w:p>
        </w:tc>
      </w:tr>
      <w:tr w:rsidR="00C81502" w:rsidRPr="00F936C6" w:rsidTr="00515D12">
        <w:tc>
          <w:tcPr>
            <w:tcW w:w="9016" w:type="dxa"/>
            <w:gridSpan w:val="2"/>
          </w:tcPr>
          <w:p w:rsidR="00C81502" w:rsidRPr="00C81502" w:rsidRDefault="00C81502" w:rsidP="00515D12">
            <w:pPr>
              <w:autoSpaceDE w:val="0"/>
              <w:autoSpaceDN w:val="0"/>
              <w:adjustRightInd w:val="0"/>
              <w:spacing w:line="276" w:lineRule="auto"/>
              <w:jc w:val="both"/>
              <w:rPr>
                <w:rFonts w:ascii="Times New Roman" w:hAnsi="Times New Roman" w:cs="Times New Roman"/>
                <w:b/>
                <w:bCs/>
                <w:i/>
                <w:iCs/>
                <w:sz w:val="24"/>
                <w:szCs w:val="24"/>
                <w:lang w:val="bs-Latn-BA"/>
              </w:rPr>
            </w:pPr>
            <w:r w:rsidRPr="00C81502">
              <w:rPr>
                <w:rFonts w:ascii="Times New Roman" w:hAnsi="Times New Roman" w:cs="Times New Roman"/>
                <w:b/>
                <w:bCs/>
                <w:i/>
                <w:iCs/>
                <w:sz w:val="24"/>
                <w:szCs w:val="24"/>
                <w:lang w:val="bs-Latn-BA"/>
              </w:rPr>
              <w:t>Sadržaj predmeta:</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r w:rsidRPr="00C81502">
              <w:rPr>
                <w:rFonts w:ascii="Times New Roman" w:eastAsia="TimesNewRomanPSMT" w:hAnsi="Times New Roman" w:cs="Times New Roman"/>
                <w:sz w:val="24"/>
                <w:szCs w:val="24"/>
                <w:lang w:val="bs-Latn-BA"/>
              </w:rPr>
              <w:t>- Opća pitanja Evropskog privatnog prava</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r w:rsidRPr="00C81502">
              <w:rPr>
                <w:rFonts w:ascii="Times New Roman" w:eastAsia="TimesNewRomanPSMT" w:hAnsi="Times New Roman" w:cs="Times New Roman"/>
                <w:sz w:val="24"/>
                <w:szCs w:val="24"/>
                <w:lang w:val="bs-Latn-BA"/>
              </w:rPr>
              <w:t>- Razvoj Evropskog privatnog prava</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r w:rsidRPr="00C81502">
              <w:rPr>
                <w:rFonts w:ascii="Times New Roman" w:eastAsia="TimesNewRomanPSMT" w:hAnsi="Times New Roman" w:cs="Times New Roman"/>
                <w:sz w:val="24"/>
                <w:szCs w:val="24"/>
                <w:lang w:val="bs-Latn-BA"/>
              </w:rPr>
              <w:t>- Privatno-pravni aspekti unutarnjeg tržišta</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r w:rsidRPr="00C81502">
              <w:rPr>
                <w:rFonts w:ascii="Times New Roman" w:eastAsia="TimesNewRomanPSMT" w:hAnsi="Times New Roman" w:cs="Times New Roman"/>
                <w:sz w:val="24"/>
                <w:szCs w:val="24"/>
                <w:lang w:val="bs-Latn-BA"/>
              </w:rPr>
              <w:t>- Načela Evropskog privatnog prava</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r w:rsidRPr="00C81502">
              <w:rPr>
                <w:rFonts w:ascii="Times New Roman" w:eastAsia="TimesNewRomanPSMT" w:hAnsi="Times New Roman" w:cs="Times New Roman"/>
                <w:sz w:val="24"/>
                <w:szCs w:val="24"/>
                <w:lang w:val="bs-Latn-BA"/>
              </w:rPr>
              <w:t>- Evropsko ugovorno pravo i pravo zaštite potrošača</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r w:rsidRPr="00C81502">
              <w:rPr>
                <w:rFonts w:ascii="Times New Roman" w:eastAsia="TimesNewRomanPSMT" w:hAnsi="Times New Roman" w:cs="Times New Roman"/>
                <w:sz w:val="24"/>
                <w:szCs w:val="24"/>
                <w:lang w:val="bs-Latn-BA"/>
              </w:rPr>
              <w:t>- Analiza odluka Suda EU u oblasti ugovornog prava (nepravične ugovorne klauzule)</w:t>
            </w:r>
          </w:p>
          <w:p w:rsidR="00C81502" w:rsidRPr="00C81502" w:rsidRDefault="00C81502" w:rsidP="00515D12">
            <w:pPr>
              <w:autoSpaceDE w:val="0"/>
              <w:autoSpaceDN w:val="0"/>
              <w:adjustRightInd w:val="0"/>
              <w:spacing w:line="276" w:lineRule="auto"/>
              <w:jc w:val="both"/>
              <w:rPr>
                <w:rFonts w:ascii="Times New Roman" w:hAnsi="Times New Roman" w:cs="Times New Roman"/>
                <w:b/>
                <w:bCs/>
                <w:i/>
                <w:iCs/>
                <w:sz w:val="24"/>
                <w:szCs w:val="24"/>
                <w:lang w:val="bs-Latn-BA"/>
              </w:rPr>
            </w:pPr>
          </w:p>
        </w:tc>
      </w:tr>
      <w:tr w:rsidR="00C81502" w:rsidRPr="00C81502" w:rsidTr="00515D12">
        <w:tc>
          <w:tcPr>
            <w:tcW w:w="9016" w:type="dxa"/>
            <w:gridSpan w:val="2"/>
          </w:tcPr>
          <w:p w:rsidR="00C81502" w:rsidRPr="00C81502" w:rsidRDefault="00C81502" w:rsidP="00515D12">
            <w:pPr>
              <w:autoSpaceDE w:val="0"/>
              <w:autoSpaceDN w:val="0"/>
              <w:adjustRightInd w:val="0"/>
              <w:spacing w:line="276" w:lineRule="auto"/>
              <w:jc w:val="both"/>
              <w:rPr>
                <w:rFonts w:ascii="Times New Roman" w:hAnsi="Times New Roman" w:cs="Times New Roman"/>
                <w:b/>
                <w:bCs/>
                <w:i/>
                <w:iCs/>
                <w:sz w:val="24"/>
                <w:szCs w:val="24"/>
                <w:lang w:val="bs-Latn-BA"/>
              </w:rPr>
            </w:pPr>
            <w:r w:rsidRPr="00C81502">
              <w:rPr>
                <w:rFonts w:ascii="Times New Roman" w:hAnsi="Times New Roman" w:cs="Times New Roman"/>
                <w:b/>
                <w:bCs/>
                <w:i/>
                <w:iCs/>
                <w:sz w:val="24"/>
                <w:szCs w:val="24"/>
                <w:lang w:val="bs-Latn-BA"/>
              </w:rPr>
              <w:t>Obaveze studenata:</w:t>
            </w:r>
          </w:p>
          <w:p w:rsidR="00C81502" w:rsidRPr="00C81502" w:rsidRDefault="00C81502" w:rsidP="00515D12">
            <w:pPr>
              <w:autoSpaceDE w:val="0"/>
              <w:autoSpaceDN w:val="0"/>
              <w:adjustRightInd w:val="0"/>
              <w:spacing w:line="276" w:lineRule="auto"/>
              <w:jc w:val="both"/>
              <w:rPr>
                <w:rFonts w:ascii="Times New Roman" w:hAnsi="Times New Roman" w:cs="Times New Roman"/>
                <w:b/>
                <w:bCs/>
                <w:i/>
                <w:iCs/>
                <w:sz w:val="24"/>
                <w:szCs w:val="24"/>
                <w:lang w:val="bs-Latn-BA"/>
              </w:rPr>
            </w:pP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fr-FR"/>
              </w:rPr>
            </w:pPr>
            <w:r w:rsidRPr="00C81502">
              <w:rPr>
                <w:rFonts w:ascii="Times New Roman" w:eastAsia="TimesNewRomanPSMT" w:hAnsi="Times New Roman" w:cs="Times New Roman"/>
                <w:sz w:val="24"/>
                <w:szCs w:val="24"/>
                <w:lang w:val="bs-Latn-BA"/>
              </w:rPr>
              <w:lastRenderedPageBreak/>
              <w:t xml:space="preserve">Rad i napredak studenata prati se kontinuirano. Redovni studenti su obavezni prisustvovati nastavi. Za redovne studente predispitne aktivnosti u nastavi učestvuju sa 60% u formiranju konačne ocjene (20% aktivnost, 40% prva provjera znanja. </w:t>
            </w:r>
            <w:r w:rsidRPr="00C81502">
              <w:rPr>
                <w:rFonts w:ascii="Times New Roman" w:eastAsia="TimesNewRomanPSMT" w:hAnsi="Times New Roman" w:cs="Times New Roman"/>
                <w:sz w:val="24"/>
                <w:szCs w:val="24"/>
                <w:lang w:val="fr-FR"/>
              </w:rPr>
              <w:t xml:space="preserve">Prva provjera znanje se vrši kroz pismeni rad koji je analiza presude Suda EU ili određenog akta EU. Osim toga se analizira Direktiva 1993/13/EEZ. Završna provjera nosi 40% bodova i radi se u vidu pismenog testa.   </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fr-FR"/>
              </w:rPr>
            </w:pPr>
          </w:p>
          <w:p w:rsidR="00C81502" w:rsidRPr="00CC36D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r w:rsidRPr="00C81502">
              <w:rPr>
                <w:rFonts w:ascii="Times New Roman" w:eastAsia="TimesNewRomanPSMT" w:hAnsi="Times New Roman" w:cs="Times New Roman"/>
                <w:sz w:val="24"/>
                <w:szCs w:val="24"/>
                <w:lang w:val="fr-FR"/>
              </w:rPr>
              <w:t xml:space="preserve">DL i vanredni studenti polažu završni test koji nosi 100 bodova, ali  </w:t>
            </w:r>
            <w:r w:rsidRPr="00CC36D2">
              <w:rPr>
                <w:rFonts w:ascii="Times New Roman" w:eastAsia="TimesNewRomanPSMT" w:hAnsi="Times New Roman" w:cs="Times New Roman"/>
                <w:sz w:val="24"/>
                <w:szCs w:val="24"/>
                <w:lang w:val="bs-Latn-BA"/>
              </w:rPr>
              <w:t>DL i vanredni studenti mogu optirati da se uključe u redovnu nastavu</w:t>
            </w:r>
            <w:r w:rsidRPr="00C81502">
              <w:rPr>
                <w:rFonts w:ascii="Times New Roman" w:eastAsia="TimesNewRomanPSMT" w:hAnsi="Times New Roman" w:cs="Times New Roman"/>
                <w:sz w:val="24"/>
                <w:szCs w:val="24"/>
                <w:lang w:val="fr-FR"/>
              </w:rPr>
              <w:t xml:space="preserve"> i da provjera znanja bude organaizirana kao i kod redovnih studenata (prema spisku radi se samo o 3 studenta). </w:t>
            </w:r>
          </w:p>
          <w:p w:rsidR="00C81502" w:rsidRPr="00CC36D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bs-Latn-BA"/>
              </w:rPr>
            </w:pPr>
          </w:p>
          <w:p w:rsidR="00C81502" w:rsidRPr="00222C70" w:rsidRDefault="00C81502" w:rsidP="00515D12">
            <w:pPr>
              <w:autoSpaceDE w:val="0"/>
              <w:autoSpaceDN w:val="0"/>
              <w:adjustRightInd w:val="0"/>
              <w:spacing w:line="276" w:lineRule="auto"/>
              <w:jc w:val="both"/>
              <w:rPr>
                <w:rFonts w:ascii="Times New Roman" w:hAnsi="Times New Roman" w:cs="Times New Roman"/>
                <w:b/>
                <w:bCs/>
                <w:i/>
                <w:iCs/>
                <w:sz w:val="24"/>
                <w:szCs w:val="24"/>
                <w:lang w:val="fr-FR"/>
              </w:rPr>
            </w:pPr>
          </w:p>
        </w:tc>
      </w:tr>
      <w:tr w:rsidR="00C81502" w:rsidRPr="00F936C6" w:rsidTr="00515D12">
        <w:tc>
          <w:tcPr>
            <w:tcW w:w="9016" w:type="dxa"/>
            <w:gridSpan w:val="2"/>
          </w:tcPr>
          <w:p w:rsidR="00C81502" w:rsidRPr="00C81502" w:rsidRDefault="00C81502" w:rsidP="00515D12">
            <w:pPr>
              <w:autoSpaceDE w:val="0"/>
              <w:autoSpaceDN w:val="0"/>
              <w:adjustRightInd w:val="0"/>
              <w:spacing w:line="276" w:lineRule="auto"/>
              <w:jc w:val="both"/>
              <w:rPr>
                <w:rFonts w:ascii="Times New Roman" w:hAnsi="Times New Roman" w:cs="Times New Roman"/>
                <w:b/>
                <w:bCs/>
                <w:i/>
                <w:iCs/>
                <w:sz w:val="24"/>
                <w:szCs w:val="24"/>
                <w:lang w:val="fr-FR"/>
              </w:rPr>
            </w:pPr>
            <w:r w:rsidRPr="00C81502">
              <w:rPr>
                <w:rFonts w:ascii="Times New Roman" w:hAnsi="Times New Roman" w:cs="Times New Roman"/>
                <w:b/>
                <w:bCs/>
                <w:i/>
                <w:iCs/>
                <w:sz w:val="24"/>
                <w:szCs w:val="24"/>
                <w:lang w:val="fr-FR"/>
              </w:rPr>
              <w:lastRenderedPageBreak/>
              <w:t>Obavezna literatura:</w:t>
            </w:r>
          </w:p>
          <w:p w:rsidR="00C81502" w:rsidRPr="00C81502" w:rsidRDefault="00C81502" w:rsidP="00515D12">
            <w:pPr>
              <w:autoSpaceDE w:val="0"/>
              <w:autoSpaceDN w:val="0"/>
              <w:adjustRightInd w:val="0"/>
              <w:jc w:val="both"/>
              <w:rPr>
                <w:rFonts w:ascii="Times New Roman" w:eastAsia="TimesNewRomanPSMT" w:hAnsi="Times New Roman" w:cs="Times New Roman"/>
                <w:sz w:val="24"/>
                <w:szCs w:val="24"/>
                <w:lang w:val="fr-FR"/>
              </w:rPr>
            </w:pPr>
            <w:r w:rsidRPr="00C81502">
              <w:rPr>
                <w:rFonts w:ascii="Times New Roman" w:eastAsia="TimesNewRomanPSMT" w:hAnsi="Times New Roman" w:cs="Times New Roman"/>
                <w:i/>
                <w:sz w:val="24"/>
                <w:szCs w:val="24"/>
                <w:lang w:val="fr-FR"/>
              </w:rPr>
              <w:t>- Meškić/Samardžić</w:t>
            </w:r>
            <w:r w:rsidRPr="00C81502">
              <w:rPr>
                <w:rFonts w:ascii="Times New Roman" w:eastAsia="TimesNewRomanPSMT" w:hAnsi="Times New Roman" w:cs="Times New Roman"/>
                <w:sz w:val="24"/>
                <w:szCs w:val="24"/>
                <w:lang w:val="fr-FR"/>
              </w:rPr>
              <w:t>, Pravo Evropske unije I, Sarajevo, 2012 (poglavlja: 181 – 219, 408 – 419, 445 – 455);</w:t>
            </w:r>
          </w:p>
          <w:p w:rsidR="00C81502" w:rsidRPr="00C81502" w:rsidRDefault="00C81502" w:rsidP="00515D12">
            <w:pPr>
              <w:autoSpaceDE w:val="0"/>
              <w:autoSpaceDN w:val="0"/>
              <w:adjustRightInd w:val="0"/>
              <w:jc w:val="both"/>
              <w:rPr>
                <w:rFonts w:ascii="Times New Roman" w:eastAsia="TimesNewRomanPSMT" w:hAnsi="Times New Roman" w:cs="Times New Roman"/>
                <w:sz w:val="24"/>
                <w:szCs w:val="24"/>
                <w:lang w:val="en-US"/>
              </w:rPr>
            </w:pPr>
            <w:r w:rsidRPr="00C81502">
              <w:rPr>
                <w:rFonts w:ascii="Times New Roman" w:hAnsi="Times New Roman" w:cs="Times New Roman"/>
                <w:i/>
                <w:iCs/>
                <w:sz w:val="24"/>
                <w:szCs w:val="24"/>
                <w:lang w:val="en-US"/>
              </w:rPr>
              <w:t xml:space="preserve">- Miščenić </w:t>
            </w:r>
            <w:r w:rsidRPr="00C81502">
              <w:rPr>
                <w:rFonts w:ascii="Times New Roman" w:eastAsia="TimesNewRomanPSMT" w:hAnsi="Times New Roman" w:cs="Times New Roman"/>
                <w:sz w:val="24"/>
                <w:szCs w:val="24"/>
                <w:lang w:val="en-US"/>
              </w:rPr>
              <w:t>Emilija, Europsko pravo na putu od Soft prema Hard Law, Osvrt na</w:t>
            </w:r>
          </w:p>
          <w:p w:rsidR="00C81502" w:rsidRPr="00C81502" w:rsidRDefault="00C81502" w:rsidP="00515D12">
            <w:pPr>
              <w:autoSpaceDE w:val="0"/>
              <w:autoSpaceDN w:val="0"/>
              <w:adjustRightInd w:val="0"/>
              <w:jc w:val="both"/>
              <w:rPr>
                <w:rFonts w:ascii="Times New Roman" w:eastAsia="TimesNewRomanPSMT" w:hAnsi="Times New Roman" w:cs="Times New Roman"/>
                <w:sz w:val="24"/>
                <w:szCs w:val="24"/>
                <w:lang w:val="en-US"/>
              </w:rPr>
            </w:pPr>
            <w:r w:rsidRPr="00C81502">
              <w:rPr>
                <w:rFonts w:ascii="Times New Roman" w:eastAsia="TimesNewRomanPSMT" w:hAnsi="Times New Roman" w:cs="Times New Roman"/>
                <w:sz w:val="24"/>
                <w:szCs w:val="24"/>
                <w:lang w:val="en-US"/>
              </w:rPr>
              <w:t>opcionalno zajedničko evropsko pravo prodaje (CESL). Zbornik pravnog fakulteta u</w:t>
            </w:r>
          </w:p>
          <w:p w:rsidR="00C81502" w:rsidRPr="00C81502" w:rsidRDefault="00C81502" w:rsidP="00515D12">
            <w:pPr>
              <w:autoSpaceDE w:val="0"/>
              <w:autoSpaceDN w:val="0"/>
              <w:adjustRightInd w:val="0"/>
              <w:jc w:val="both"/>
              <w:rPr>
                <w:rFonts w:ascii="Times New Roman" w:eastAsia="TimesNewRomanPSMT" w:hAnsi="Times New Roman" w:cs="Times New Roman"/>
                <w:sz w:val="24"/>
                <w:szCs w:val="24"/>
                <w:lang w:val="en-US"/>
              </w:rPr>
            </w:pPr>
            <w:r w:rsidRPr="00C81502">
              <w:rPr>
                <w:rFonts w:ascii="Times New Roman" w:eastAsia="TimesNewRomanPSMT" w:hAnsi="Times New Roman" w:cs="Times New Roman"/>
                <w:sz w:val="24"/>
                <w:szCs w:val="24"/>
                <w:lang w:val="en-US"/>
              </w:rPr>
              <w:t>Rijeci, br. 2 (2012) str. 695 – 745;</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en-US"/>
              </w:rPr>
            </w:pPr>
            <w:r w:rsidRPr="00C81502">
              <w:rPr>
                <w:rFonts w:ascii="Times New Roman" w:eastAsia="TimesNewRomanPSMT" w:hAnsi="Times New Roman" w:cs="Times New Roman"/>
                <w:sz w:val="24"/>
                <w:szCs w:val="24"/>
                <w:lang w:val="en-US"/>
              </w:rPr>
              <w:t xml:space="preserve">- </w:t>
            </w:r>
            <w:r w:rsidRPr="00C81502">
              <w:rPr>
                <w:rFonts w:ascii="Times New Roman" w:hAnsi="Times New Roman" w:cs="Times New Roman"/>
                <w:i/>
                <w:iCs/>
                <w:sz w:val="24"/>
                <w:szCs w:val="24"/>
                <w:lang w:val="en-US"/>
              </w:rPr>
              <w:t xml:space="preserve">Rösler </w:t>
            </w:r>
            <w:r w:rsidRPr="00C81502">
              <w:rPr>
                <w:rFonts w:ascii="Times New Roman" w:eastAsia="TimesNewRomanPSMT" w:hAnsi="Times New Roman" w:cs="Times New Roman"/>
                <w:sz w:val="24"/>
                <w:szCs w:val="24"/>
                <w:lang w:val="en-US"/>
              </w:rPr>
              <w:t>Hannes, Osnove potrošačkog prava Evropske Unije, NPR 1/2013, str. 20 –</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en-US"/>
              </w:rPr>
            </w:pPr>
            <w:r w:rsidRPr="00C81502">
              <w:rPr>
                <w:rFonts w:ascii="Times New Roman" w:eastAsia="TimesNewRomanPSMT" w:hAnsi="Times New Roman" w:cs="Times New Roman"/>
                <w:sz w:val="24"/>
                <w:szCs w:val="24"/>
                <w:lang w:val="en-US"/>
              </w:rPr>
              <w:t>29;</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en-US"/>
              </w:rPr>
            </w:pPr>
            <w:r w:rsidRPr="00C81502">
              <w:rPr>
                <w:rFonts w:ascii="Times New Roman" w:eastAsia="TimesNewRomanPSMT" w:hAnsi="Times New Roman" w:cs="Times New Roman"/>
                <w:sz w:val="24"/>
                <w:szCs w:val="24"/>
                <w:lang w:val="en-US"/>
              </w:rPr>
              <w:t xml:space="preserve">- </w:t>
            </w:r>
            <w:r w:rsidRPr="00C81502">
              <w:rPr>
                <w:rFonts w:ascii="Times New Roman" w:hAnsi="Times New Roman" w:cs="Times New Roman"/>
                <w:i/>
                <w:iCs/>
                <w:sz w:val="24"/>
                <w:szCs w:val="24"/>
                <w:lang w:val="en-US"/>
              </w:rPr>
              <w:t xml:space="preserve">Meškić </w:t>
            </w:r>
            <w:r w:rsidRPr="00C81502">
              <w:rPr>
                <w:rFonts w:ascii="Times New Roman" w:eastAsia="TimesNewRomanPSMT" w:hAnsi="Times New Roman" w:cs="Times New Roman"/>
                <w:sz w:val="24"/>
                <w:szCs w:val="24"/>
                <w:lang w:val="en-US"/>
              </w:rPr>
              <w:t>Zlatan, Direktiva 2011/83/EU o pravima potrošača od 25. oktobra 2011 (Sl.</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en-US"/>
              </w:rPr>
            </w:pPr>
            <w:r w:rsidRPr="00C81502">
              <w:rPr>
                <w:rFonts w:ascii="Times New Roman" w:eastAsia="TimesNewRomanPSMT" w:hAnsi="Times New Roman" w:cs="Times New Roman"/>
                <w:sz w:val="24"/>
                <w:szCs w:val="24"/>
                <w:lang w:val="en-US"/>
              </w:rPr>
              <w:t>list EU 2011, L 304/64, NPR 1/2012, 43 - 48;</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en-US"/>
              </w:rPr>
            </w:pPr>
          </w:p>
          <w:p w:rsidR="00C81502" w:rsidRPr="00C81502" w:rsidRDefault="00C81502" w:rsidP="00515D12">
            <w:pPr>
              <w:autoSpaceDE w:val="0"/>
              <w:autoSpaceDN w:val="0"/>
              <w:adjustRightInd w:val="0"/>
              <w:spacing w:line="276" w:lineRule="auto"/>
              <w:jc w:val="both"/>
              <w:rPr>
                <w:rFonts w:ascii="Times New Roman" w:hAnsi="Times New Roman" w:cs="Times New Roman"/>
                <w:b/>
                <w:bCs/>
                <w:i/>
                <w:iCs/>
                <w:sz w:val="24"/>
                <w:szCs w:val="24"/>
                <w:lang w:val="en-US"/>
              </w:rPr>
            </w:pPr>
            <w:r w:rsidRPr="00C81502">
              <w:rPr>
                <w:rFonts w:ascii="Times New Roman" w:hAnsi="Times New Roman" w:cs="Times New Roman"/>
                <w:b/>
                <w:bCs/>
                <w:i/>
                <w:iCs/>
                <w:sz w:val="24"/>
                <w:szCs w:val="24"/>
                <w:lang w:val="en-US"/>
              </w:rPr>
              <w:t>Dopunska literatura:</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en-US"/>
              </w:rPr>
            </w:pPr>
            <w:r w:rsidRPr="00C81502">
              <w:rPr>
                <w:rFonts w:ascii="Times New Roman" w:eastAsia="TimesNewRomanPSMT" w:hAnsi="Times New Roman" w:cs="Times New Roman"/>
                <w:sz w:val="24"/>
                <w:szCs w:val="24"/>
                <w:lang w:val="en-US"/>
              </w:rPr>
              <w:t xml:space="preserve">- </w:t>
            </w:r>
            <w:r w:rsidRPr="00C81502">
              <w:rPr>
                <w:rFonts w:ascii="Times New Roman" w:hAnsi="Times New Roman" w:cs="Times New Roman"/>
                <w:i/>
                <w:iCs/>
                <w:sz w:val="24"/>
                <w:szCs w:val="24"/>
                <w:lang w:val="en-US"/>
              </w:rPr>
              <w:t>Tatjana Josipović</w:t>
            </w:r>
            <w:r w:rsidRPr="00C81502">
              <w:rPr>
                <w:rFonts w:ascii="Times New Roman" w:hAnsi="Times New Roman" w:cs="Times New Roman"/>
                <w:iCs/>
                <w:sz w:val="24"/>
                <w:szCs w:val="24"/>
                <w:lang w:val="en-US"/>
              </w:rPr>
              <w:t>, Zaštita potrošača od nepoštenih ugovornih odredbi, Načela i standardi zaštite u odlukama Suda Evropske unije, Zagreb, 2018;</w:t>
            </w:r>
            <w:r w:rsidRPr="00C81502">
              <w:rPr>
                <w:rFonts w:ascii="Times New Roman" w:eastAsia="TimesNewRomanPSMT" w:hAnsi="Times New Roman" w:cs="Times New Roman"/>
                <w:sz w:val="24"/>
                <w:szCs w:val="24"/>
                <w:lang w:val="en-US"/>
              </w:rPr>
              <w:t>**</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en-US"/>
              </w:rPr>
            </w:pPr>
            <w:r w:rsidRPr="00C81502">
              <w:rPr>
                <w:rFonts w:ascii="Times New Roman" w:eastAsia="TimesNewRomanPSMT" w:hAnsi="Times New Roman" w:cs="Times New Roman"/>
                <w:sz w:val="24"/>
                <w:szCs w:val="24"/>
                <w:lang w:val="en-US"/>
              </w:rPr>
              <w:t xml:space="preserve">- </w:t>
            </w:r>
            <w:r w:rsidRPr="00C81502">
              <w:rPr>
                <w:rFonts w:ascii="Times New Roman" w:hAnsi="Times New Roman" w:cs="Times New Roman"/>
                <w:i/>
                <w:iCs/>
                <w:sz w:val="24"/>
                <w:szCs w:val="24"/>
                <w:lang w:val="en-US"/>
              </w:rPr>
              <w:t xml:space="preserve">Rolland </w:t>
            </w:r>
            <w:r w:rsidRPr="00C81502">
              <w:rPr>
                <w:rFonts w:ascii="Times New Roman" w:eastAsia="TimesNewRomanPSMT" w:hAnsi="Times New Roman" w:cs="Times New Roman"/>
                <w:sz w:val="24"/>
                <w:szCs w:val="24"/>
                <w:lang w:val="en-US"/>
              </w:rPr>
              <w:t>Walter, Dejstva prava Zajednice na nacionalna privatna prava, NPR 2/2011;</w:t>
            </w: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en-US"/>
              </w:rPr>
            </w:pPr>
            <w:r w:rsidRPr="00C81502">
              <w:rPr>
                <w:rFonts w:ascii="Times New Roman" w:eastAsia="TimesNewRomanPSMT" w:hAnsi="Times New Roman" w:cs="Times New Roman"/>
                <w:sz w:val="24"/>
                <w:szCs w:val="24"/>
                <w:lang w:val="en-US"/>
              </w:rPr>
              <w:t xml:space="preserve">- </w:t>
            </w:r>
            <w:r w:rsidRPr="00C81502">
              <w:rPr>
                <w:rFonts w:ascii="Times New Roman" w:hAnsi="Times New Roman" w:cs="Times New Roman"/>
                <w:i/>
                <w:iCs/>
                <w:sz w:val="24"/>
                <w:szCs w:val="24"/>
                <w:lang w:val="en-US"/>
              </w:rPr>
              <w:t xml:space="preserve">Povlakić </w:t>
            </w:r>
            <w:r w:rsidRPr="00C81502">
              <w:rPr>
                <w:rFonts w:ascii="Times New Roman" w:eastAsia="TimesNewRomanPSMT" w:hAnsi="Times New Roman" w:cs="Times New Roman"/>
                <w:sz w:val="24"/>
                <w:szCs w:val="24"/>
                <w:lang w:val="en-US"/>
              </w:rPr>
              <w:t>Meliha, Prijedlog Uredbe Evropskog parlamenta i Savjeta o zajedničkom</w:t>
            </w:r>
          </w:p>
          <w:p w:rsidR="00C81502" w:rsidRPr="00222C70" w:rsidRDefault="00C81502" w:rsidP="00515D12">
            <w:pPr>
              <w:autoSpaceDE w:val="0"/>
              <w:autoSpaceDN w:val="0"/>
              <w:adjustRightInd w:val="0"/>
              <w:spacing w:line="276" w:lineRule="auto"/>
              <w:jc w:val="both"/>
              <w:rPr>
                <w:rFonts w:ascii="Times New Roman" w:eastAsia="TimesNewRomanPSMT" w:hAnsi="Times New Roman" w:cs="Times New Roman"/>
                <w:sz w:val="24"/>
                <w:szCs w:val="24"/>
              </w:rPr>
            </w:pPr>
            <w:r w:rsidRPr="00222C70">
              <w:rPr>
                <w:rFonts w:ascii="Times New Roman" w:eastAsia="TimesNewRomanPSMT" w:hAnsi="Times New Roman" w:cs="Times New Roman"/>
                <w:sz w:val="24"/>
                <w:szCs w:val="24"/>
              </w:rPr>
              <w:t>evropskom pravu prodaje KOM (2011) 635 final od 11.10.2011, NPR 2/2011, str.</w:t>
            </w:r>
          </w:p>
          <w:p w:rsidR="00C81502" w:rsidRPr="00222C70" w:rsidRDefault="00C81502" w:rsidP="00515D12">
            <w:pPr>
              <w:autoSpaceDE w:val="0"/>
              <w:autoSpaceDN w:val="0"/>
              <w:adjustRightInd w:val="0"/>
              <w:spacing w:line="276"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53 do 58; </w:t>
            </w:r>
          </w:p>
          <w:p w:rsidR="00C81502" w:rsidRPr="00222C70" w:rsidRDefault="00C81502" w:rsidP="00515D12">
            <w:pPr>
              <w:autoSpaceDE w:val="0"/>
              <w:autoSpaceDN w:val="0"/>
              <w:adjustRightInd w:val="0"/>
              <w:spacing w:line="276" w:lineRule="auto"/>
              <w:jc w:val="both"/>
              <w:rPr>
                <w:rFonts w:ascii="Times New Roman" w:eastAsia="TimesNewRomanPSMT" w:hAnsi="Times New Roman" w:cs="Times New Roman"/>
                <w:sz w:val="24"/>
                <w:szCs w:val="24"/>
              </w:rPr>
            </w:pPr>
            <w:r w:rsidRPr="00222C70">
              <w:rPr>
                <w:rFonts w:ascii="Times New Roman" w:eastAsia="TimesNewRomanPSMT" w:hAnsi="Times New Roman" w:cs="Times New Roman"/>
                <w:sz w:val="24"/>
                <w:szCs w:val="24"/>
              </w:rPr>
              <w:t xml:space="preserve">- </w:t>
            </w:r>
            <w:r w:rsidRPr="00222C70">
              <w:rPr>
                <w:rFonts w:ascii="Times New Roman" w:hAnsi="Times New Roman" w:cs="Times New Roman"/>
                <w:i/>
                <w:iCs/>
                <w:sz w:val="24"/>
                <w:szCs w:val="24"/>
              </w:rPr>
              <w:t xml:space="preserve">Bevanda </w:t>
            </w:r>
            <w:r w:rsidRPr="00222C70">
              <w:rPr>
                <w:rFonts w:ascii="Times New Roman" w:eastAsia="TimesNewRomanPSMT" w:hAnsi="Times New Roman" w:cs="Times New Roman"/>
                <w:sz w:val="24"/>
                <w:szCs w:val="24"/>
              </w:rPr>
              <w:t>Marko, Osvrt na Direktivu EU br. 83/2013 o pravima potrošača, Aktualnosti</w:t>
            </w:r>
          </w:p>
          <w:p w:rsidR="00C81502" w:rsidRPr="00222C70" w:rsidRDefault="00C81502" w:rsidP="00515D12">
            <w:pPr>
              <w:autoSpaceDE w:val="0"/>
              <w:autoSpaceDN w:val="0"/>
              <w:adjustRightInd w:val="0"/>
              <w:spacing w:line="276" w:lineRule="auto"/>
              <w:jc w:val="both"/>
              <w:rPr>
                <w:rFonts w:ascii="Times New Roman" w:eastAsia="TimesNewRomanPSMT" w:hAnsi="Times New Roman" w:cs="Times New Roman"/>
                <w:sz w:val="24"/>
                <w:szCs w:val="24"/>
              </w:rPr>
            </w:pPr>
            <w:r w:rsidRPr="00222C70">
              <w:rPr>
                <w:rFonts w:ascii="Times New Roman" w:eastAsia="TimesNewRomanPSMT" w:hAnsi="Times New Roman" w:cs="Times New Roman"/>
                <w:sz w:val="24"/>
                <w:szCs w:val="24"/>
              </w:rPr>
              <w:t>građanskog i trgovačkog zakonodavstva i pravne prakse br. 11 (2013), str. 168 – 182</w:t>
            </w:r>
            <w:r>
              <w:rPr>
                <w:rFonts w:ascii="Times New Roman" w:eastAsia="TimesNewRomanPSMT" w:hAnsi="Times New Roman" w:cs="Times New Roman"/>
                <w:sz w:val="24"/>
                <w:szCs w:val="24"/>
              </w:rPr>
              <w:t>**</w:t>
            </w:r>
            <w:r w:rsidRPr="00222C70">
              <w:rPr>
                <w:rFonts w:ascii="Times New Roman" w:eastAsia="TimesNewRomanPSMT" w:hAnsi="Times New Roman" w:cs="Times New Roman"/>
                <w:sz w:val="24"/>
                <w:szCs w:val="24"/>
              </w:rPr>
              <w:t>;</w:t>
            </w:r>
          </w:p>
          <w:p w:rsidR="00C81502" w:rsidRPr="00555B16" w:rsidRDefault="00C81502" w:rsidP="00515D12">
            <w:pPr>
              <w:autoSpaceDE w:val="0"/>
              <w:autoSpaceDN w:val="0"/>
              <w:adjustRightInd w:val="0"/>
              <w:spacing w:line="276" w:lineRule="auto"/>
              <w:jc w:val="both"/>
              <w:rPr>
                <w:rFonts w:ascii="Times New Roman" w:eastAsia="TimesNewRomanPSMT" w:hAnsi="Times New Roman" w:cs="Times New Roman"/>
                <w:sz w:val="24"/>
                <w:szCs w:val="24"/>
              </w:rPr>
            </w:pPr>
            <w:r w:rsidRPr="00555B16">
              <w:rPr>
                <w:rFonts w:ascii="Times New Roman" w:eastAsia="TimesNewRomanPSMT" w:hAnsi="Times New Roman" w:cs="Times New Roman"/>
                <w:sz w:val="24"/>
                <w:szCs w:val="24"/>
              </w:rPr>
              <w:t xml:space="preserve">- </w:t>
            </w:r>
            <w:r w:rsidRPr="00555B16">
              <w:rPr>
                <w:rFonts w:ascii="Times New Roman" w:hAnsi="Times New Roman" w:cs="Times New Roman"/>
                <w:i/>
                <w:iCs/>
                <w:sz w:val="24"/>
                <w:szCs w:val="24"/>
              </w:rPr>
              <w:t xml:space="preserve">Petrić </w:t>
            </w:r>
            <w:r w:rsidRPr="00555B16">
              <w:rPr>
                <w:rFonts w:ascii="Times New Roman" w:eastAsia="TimesNewRomanPSMT" w:hAnsi="Times New Roman" w:cs="Times New Roman"/>
                <w:sz w:val="24"/>
                <w:szCs w:val="24"/>
              </w:rPr>
              <w:t>Silvija, Uvod u načela europskog ugovornog prava (Landova naačela), Zbornik</w:t>
            </w:r>
          </w:p>
          <w:p w:rsidR="00C81502" w:rsidRDefault="00C81502" w:rsidP="00515D12">
            <w:pPr>
              <w:spacing w:line="276" w:lineRule="auto"/>
              <w:jc w:val="both"/>
              <w:rPr>
                <w:rFonts w:ascii="Times New Roman" w:eastAsia="TimesNewRomanPSMT" w:hAnsi="Times New Roman" w:cs="Times New Roman"/>
                <w:sz w:val="24"/>
                <w:szCs w:val="24"/>
              </w:rPr>
            </w:pPr>
            <w:r w:rsidRPr="00222C70">
              <w:rPr>
                <w:rFonts w:ascii="Times New Roman" w:eastAsia="TimesNewRomanPSMT" w:hAnsi="Times New Roman" w:cs="Times New Roman"/>
                <w:sz w:val="24"/>
                <w:szCs w:val="24"/>
              </w:rPr>
              <w:t>Pravnog fakulteta Sveučilišta u Rijeci, v. 29, br. 1 (2008)</w:t>
            </w:r>
            <w:r>
              <w:rPr>
                <w:rFonts w:ascii="Times New Roman" w:eastAsia="TimesNewRomanPSMT" w:hAnsi="Times New Roman" w:cs="Times New Roman"/>
                <w:sz w:val="24"/>
                <w:szCs w:val="24"/>
              </w:rPr>
              <w:t>**</w:t>
            </w:r>
            <w:r w:rsidRPr="00222C70">
              <w:rPr>
                <w:rFonts w:ascii="Times New Roman" w:eastAsia="TimesNewRomanPSMT" w:hAnsi="Times New Roman" w:cs="Times New Roman"/>
                <w:sz w:val="24"/>
                <w:szCs w:val="24"/>
              </w:rPr>
              <w:t>.</w:t>
            </w:r>
          </w:p>
          <w:p w:rsidR="00C81502" w:rsidRDefault="00C81502" w:rsidP="00515D12">
            <w:pPr>
              <w:spacing w:line="276" w:lineRule="auto"/>
              <w:jc w:val="both"/>
              <w:rPr>
                <w:rFonts w:ascii="Times New Roman" w:eastAsia="TimesNewRomanPSMT" w:hAnsi="Times New Roman" w:cs="Times New Roman"/>
                <w:sz w:val="24"/>
                <w:szCs w:val="24"/>
              </w:rPr>
            </w:pPr>
          </w:p>
          <w:p w:rsidR="00C81502" w:rsidRPr="00C81502" w:rsidRDefault="00C81502" w:rsidP="00515D12">
            <w:pPr>
              <w:autoSpaceDE w:val="0"/>
              <w:autoSpaceDN w:val="0"/>
              <w:adjustRightInd w:val="0"/>
              <w:spacing w:line="276" w:lineRule="auto"/>
              <w:jc w:val="both"/>
              <w:rPr>
                <w:rFonts w:ascii="Times New Roman" w:eastAsia="TimesNewRomanPSMT" w:hAnsi="Times New Roman" w:cs="Times New Roman"/>
                <w:sz w:val="24"/>
                <w:szCs w:val="24"/>
                <w:lang w:val="fr-FR"/>
              </w:rPr>
            </w:pPr>
            <w:r w:rsidRPr="00C81502">
              <w:rPr>
                <w:rFonts w:ascii="Times New Roman" w:eastAsia="TimesNewRomanPSMT" w:hAnsi="Times New Roman" w:cs="Times New Roman"/>
                <w:sz w:val="24"/>
                <w:szCs w:val="24"/>
                <w:lang w:val="fr-FR"/>
              </w:rPr>
              <w:t>Sva literatura je dostupna u Biblioteci. Dopunska literatura (sem literature označene sa **) će dodatno studentima biti dostavljena u elektronskoj formi, ukoliko iskažu interes.</w:t>
            </w:r>
          </w:p>
          <w:p w:rsidR="00C81502" w:rsidRPr="00C81502" w:rsidRDefault="00C81502" w:rsidP="00515D12">
            <w:pPr>
              <w:spacing w:line="276" w:lineRule="auto"/>
              <w:jc w:val="both"/>
              <w:rPr>
                <w:rFonts w:ascii="Times New Roman" w:hAnsi="Times New Roman" w:cs="Times New Roman"/>
                <w:sz w:val="24"/>
                <w:szCs w:val="24"/>
                <w:lang w:val="fr-FR"/>
              </w:rPr>
            </w:pPr>
          </w:p>
          <w:p w:rsidR="00C81502" w:rsidRPr="00C81502" w:rsidRDefault="00C81502" w:rsidP="00515D12">
            <w:pPr>
              <w:autoSpaceDE w:val="0"/>
              <w:autoSpaceDN w:val="0"/>
              <w:adjustRightInd w:val="0"/>
              <w:spacing w:line="276" w:lineRule="auto"/>
              <w:jc w:val="both"/>
              <w:rPr>
                <w:rFonts w:ascii="Times New Roman" w:hAnsi="Times New Roman" w:cs="Times New Roman"/>
                <w:b/>
                <w:bCs/>
                <w:i/>
                <w:iCs/>
                <w:sz w:val="24"/>
                <w:szCs w:val="24"/>
                <w:lang w:val="fr-FR"/>
              </w:rPr>
            </w:pPr>
          </w:p>
        </w:tc>
      </w:tr>
    </w:tbl>
    <w:p w:rsidR="00C81502" w:rsidRDefault="00C81502" w:rsidP="00C81502">
      <w:pPr>
        <w:rPr>
          <w:lang w:val="bs-Latn-BA"/>
        </w:rPr>
      </w:pPr>
    </w:p>
    <w:p w:rsidR="00C81502" w:rsidRDefault="00C81502" w:rsidP="00C81502">
      <w:pPr>
        <w:rPr>
          <w:lang w:val="bs-Latn-BA"/>
        </w:rPr>
      </w:pPr>
    </w:p>
    <w:p w:rsidR="00C81502" w:rsidRDefault="00C81502" w:rsidP="00C81502">
      <w:pPr>
        <w:rPr>
          <w:lang w:val="bs-Latn-BA"/>
        </w:rPr>
      </w:pPr>
    </w:p>
    <w:p w:rsidR="00C81502" w:rsidRDefault="00C81502" w:rsidP="00C81502">
      <w:pPr>
        <w:rPr>
          <w:lang w:val="bs-Latn-BA"/>
        </w:rPr>
      </w:pPr>
    </w:p>
    <w:p w:rsidR="00C81502" w:rsidRPr="003D6721" w:rsidRDefault="00C81502" w:rsidP="00C81502">
      <w:pPr>
        <w:spacing w:line="276" w:lineRule="auto"/>
        <w:rPr>
          <w:rFonts w:ascii="Times New Roman" w:hAnsi="Times New Roman" w:cs="Times New Roman"/>
          <w:b/>
          <w:sz w:val="24"/>
          <w:szCs w:val="24"/>
          <w:lang w:val="bs-Latn-BA"/>
        </w:rPr>
      </w:pPr>
      <w:r w:rsidRPr="003D6721">
        <w:rPr>
          <w:rFonts w:ascii="Times New Roman" w:hAnsi="Times New Roman" w:cs="Times New Roman"/>
          <w:b/>
          <w:sz w:val="24"/>
          <w:szCs w:val="24"/>
          <w:lang w:val="bs-Latn-BA"/>
        </w:rPr>
        <w:lastRenderedPageBreak/>
        <w:t>IZVOĐENJE NASTAVE</w:t>
      </w:r>
    </w:p>
    <w:p w:rsidR="00C81502" w:rsidRDefault="00C81502" w:rsidP="00C81502">
      <w:pPr>
        <w:autoSpaceDE w:val="0"/>
        <w:autoSpaceDN w:val="0"/>
        <w:adjustRightInd w:val="0"/>
        <w:spacing w:after="0" w:line="276" w:lineRule="auto"/>
        <w:jc w:val="both"/>
        <w:rPr>
          <w:rFonts w:ascii="Times New Roman" w:hAnsi="Times New Roman" w:cs="Times New Roman"/>
          <w:sz w:val="24"/>
          <w:szCs w:val="24"/>
          <w:lang w:val="bs-Latn-BA"/>
        </w:rPr>
      </w:pPr>
      <w:r>
        <w:rPr>
          <w:rFonts w:ascii="Times New Roman" w:hAnsi="Times New Roman" w:cs="Times New Roman"/>
          <w:b/>
          <w:sz w:val="24"/>
          <w:szCs w:val="24"/>
          <w:lang w:val="bs-Latn-BA"/>
        </w:rPr>
        <w:t>24</w:t>
      </w:r>
      <w:r w:rsidRPr="003D6721">
        <w:rPr>
          <w:rFonts w:ascii="Times New Roman" w:hAnsi="Times New Roman" w:cs="Times New Roman"/>
          <w:b/>
          <w:sz w:val="24"/>
          <w:szCs w:val="24"/>
          <w:lang w:val="bs-Latn-BA"/>
        </w:rPr>
        <w:t>.03.20</w:t>
      </w:r>
      <w:r>
        <w:rPr>
          <w:rFonts w:ascii="Times New Roman" w:hAnsi="Times New Roman" w:cs="Times New Roman"/>
          <w:b/>
          <w:sz w:val="24"/>
          <w:szCs w:val="24"/>
          <w:lang w:val="bs-Latn-BA"/>
        </w:rPr>
        <w:t>20</w:t>
      </w:r>
      <w:r w:rsidRPr="003D6721">
        <w:rPr>
          <w:rFonts w:ascii="Times New Roman" w:hAnsi="Times New Roman" w:cs="Times New Roman"/>
          <w:b/>
          <w:sz w:val="24"/>
          <w:szCs w:val="24"/>
          <w:lang w:val="bs-Latn-BA"/>
        </w:rPr>
        <w:t xml:space="preserve">.: </w:t>
      </w:r>
      <w:r w:rsidRPr="00F936C6">
        <w:rPr>
          <w:rFonts w:ascii="Times New Roman" w:hAnsi="Times New Roman" w:cs="Times New Roman"/>
          <w:sz w:val="24"/>
          <w:szCs w:val="24"/>
          <w:lang w:val="bs-Latn-BA"/>
        </w:rPr>
        <w:t>Uvodni čas</w:t>
      </w:r>
    </w:p>
    <w:p w:rsidR="00C81502" w:rsidRDefault="00C81502" w:rsidP="00C81502">
      <w:pPr>
        <w:autoSpaceDE w:val="0"/>
        <w:autoSpaceDN w:val="0"/>
        <w:adjustRightInd w:val="0"/>
        <w:spacing w:after="0" w:line="276" w:lineRule="auto"/>
        <w:jc w:val="both"/>
        <w:rPr>
          <w:rFonts w:ascii="Times New Roman" w:hAnsi="Times New Roman" w:cs="Times New Roman"/>
          <w:b/>
          <w:sz w:val="24"/>
          <w:szCs w:val="24"/>
          <w:lang w:val="bs-Latn-BA"/>
        </w:rPr>
      </w:pPr>
    </w:p>
    <w:p w:rsidR="00C81502" w:rsidRDefault="00C81502" w:rsidP="00C81502">
      <w:pPr>
        <w:autoSpaceDE w:val="0"/>
        <w:autoSpaceDN w:val="0"/>
        <w:adjustRightInd w:val="0"/>
        <w:spacing w:after="0" w:line="276" w:lineRule="auto"/>
        <w:jc w:val="both"/>
        <w:rPr>
          <w:rFonts w:ascii="Times New Roman" w:hAnsi="Times New Roman" w:cs="Times New Roman"/>
          <w:sz w:val="24"/>
          <w:szCs w:val="24"/>
          <w:lang w:val="bs-Latn-BA"/>
        </w:rPr>
      </w:pPr>
      <w:r w:rsidRPr="00F936C6">
        <w:rPr>
          <w:rFonts w:ascii="Times New Roman" w:hAnsi="Times New Roman" w:cs="Times New Roman"/>
          <w:b/>
          <w:sz w:val="24"/>
          <w:szCs w:val="24"/>
          <w:lang w:val="bs-Latn-BA"/>
        </w:rPr>
        <w:t>09.03.2020.</w:t>
      </w:r>
      <w:r>
        <w:rPr>
          <w:rFonts w:ascii="Times New Roman" w:hAnsi="Times New Roman" w:cs="Times New Roman"/>
          <w:sz w:val="24"/>
          <w:szCs w:val="24"/>
          <w:lang w:val="bs-Latn-BA"/>
        </w:rPr>
        <w:t>: Predavanja za studente u DEI: Sporazum o stabilizaciji i pridruživanju, usklađivanja prava BiH sa pravom EU</w:t>
      </w:r>
    </w:p>
    <w:p w:rsidR="00C81502" w:rsidRDefault="00C81502" w:rsidP="00C81502">
      <w:pPr>
        <w:autoSpaceDE w:val="0"/>
        <w:autoSpaceDN w:val="0"/>
        <w:adjustRightInd w:val="0"/>
        <w:spacing w:after="0" w:line="276" w:lineRule="auto"/>
        <w:jc w:val="both"/>
        <w:rPr>
          <w:rFonts w:ascii="Times New Roman" w:eastAsia="TimesNewRomanPSMT" w:hAnsi="Times New Roman" w:cs="Times New Roman"/>
          <w:b/>
          <w:sz w:val="24"/>
          <w:szCs w:val="24"/>
          <w:lang w:val="bs-Latn-BA"/>
        </w:rPr>
      </w:pPr>
    </w:p>
    <w:p w:rsidR="00C81502" w:rsidRPr="003D6721" w:rsidRDefault="00C81502" w:rsidP="00C81502">
      <w:pPr>
        <w:autoSpaceDE w:val="0"/>
        <w:autoSpaceDN w:val="0"/>
        <w:adjustRightInd w:val="0"/>
        <w:spacing w:after="0" w:line="276" w:lineRule="auto"/>
        <w:jc w:val="both"/>
        <w:rPr>
          <w:rFonts w:ascii="Times New Roman" w:hAnsi="Times New Roman" w:cs="Times New Roman"/>
          <w:b/>
          <w:sz w:val="24"/>
          <w:szCs w:val="24"/>
          <w:lang w:val="bs-Latn-BA"/>
        </w:rPr>
      </w:pPr>
      <w:r w:rsidRPr="00F936C6">
        <w:rPr>
          <w:rFonts w:ascii="Times New Roman" w:eastAsia="TimesNewRomanPSMT" w:hAnsi="Times New Roman" w:cs="Times New Roman"/>
          <w:b/>
          <w:sz w:val="24"/>
          <w:szCs w:val="24"/>
          <w:lang w:val="bs-Latn-BA"/>
        </w:rPr>
        <w:t>16.03.2020</w:t>
      </w:r>
      <w:r>
        <w:rPr>
          <w:rFonts w:ascii="Times New Roman" w:eastAsia="TimesNewRomanPSMT" w:hAnsi="Times New Roman" w:cs="Times New Roman"/>
          <w:sz w:val="24"/>
          <w:szCs w:val="24"/>
          <w:lang w:val="bs-Latn-BA"/>
        </w:rPr>
        <w:t xml:space="preserve">.: </w:t>
      </w:r>
      <w:r w:rsidRPr="00F936C6">
        <w:rPr>
          <w:rFonts w:ascii="Times New Roman" w:eastAsia="TimesNewRomanPSMT" w:hAnsi="Times New Roman" w:cs="Times New Roman"/>
          <w:sz w:val="24"/>
          <w:szCs w:val="24"/>
          <w:lang w:val="bs-Latn-BA"/>
        </w:rPr>
        <w:t>Opća</w:t>
      </w:r>
      <w:r w:rsidRPr="003D6721">
        <w:rPr>
          <w:rFonts w:ascii="Times New Roman" w:eastAsia="TimesNewRomanPSMT" w:hAnsi="Times New Roman" w:cs="Times New Roman"/>
          <w:sz w:val="24"/>
          <w:szCs w:val="24"/>
          <w:lang w:val="bs-Latn-BA"/>
        </w:rPr>
        <w:t xml:space="preserve"> pitanja Evropskog privatnog prava</w:t>
      </w:r>
    </w:p>
    <w:p w:rsidR="00C81502" w:rsidRDefault="00C81502" w:rsidP="00C81502">
      <w:pPr>
        <w:spacing w:line="276" w:lineRule="auto"/>
        <w:rPr>
          <w:rFonts w:ascii="Times New Roman" w:hAnsi="Times New Roman" w:cs="Times New Roman"/>
          <w:b/>
          <w:sz w:val="24"/>
          <w:szCs w:val="24"/>
          <w:lang w:val="bs-Latn-BA"/>
        </w:rPr>
      </w:pPr>
    </w:p>
    <w:p w:rsidR="00C81502" w:rsidRDefault="00C81502" w:rsidP="00C81502">
      <w:pPr>
        <w:spacing w:line="276" w:lineRule="auto"/>
        <w:rPr>
          <w:rFonts w:ascii="Times New Roman" w:hAnsi="Times New Roman" w:cs="Times New Roman"/>
          <w:sz w:val="24"/>
          <w:szCs w:val="24"/>
          <w:lang w:val="bs-Latn-BA"/>
        </w:rPr>
      </w:pPr>
      <w:r>
        <w:rPr>
          <w:rFonts w:ascii="Times New Roman" w:hAnsi="Times New Roman" w:cs="Times New Roman"/>
          <w:b/>
          <w:sz w:val="24"/>
          <w:szCs w:val="24"/>
          <w:lang w:val="bs-Latn-BA"/>
        </w:rPr>
        <w:t>23</w:t>
      </w:r>
      <w:r w:rsidRPr="003D6721">
        <w:rPr>
          <w:rFonts w:ascii="Times New Roman" w:hAnsi="Times New Roman" w:cs="Times New Roman"/>
          <w:b/>
          <w:sz w:val="24"/>
          <w:szCs w:val="24"/>
          <w:lang w:val="bs-Latn-BA"/>
        </w:rPr>
        <w:t>.03.20</w:t>
      </w:r>
      <w:r>
        <w:rPr>
          <w:rFonts w:ascii="Times New Roman" w:hAnsi="Times New Roman" w:cs="Times New Roman"/>
          <w:b/>
          <w:sz w:val="24"/>
          <w:szCs w:val="24"/>
          <w:lang w:val="bs-Latn-BA"/>
        </w:rPr>
        <w:t>20</w:t>
      </w:r>
      <w:r w:rsidRPr="003D6721">
        <w:rPr>
          <w:rFonts w:ascii="Times New Roman" w:hAnsi="Times New Roman" w:cs="Times New Roman"/>
          <w:b/>
          <w:sz w:val="24"/>
          <w:szCs w:val="24"/>
          <w:lang w:val="bs-Latn-BA"/>
        </w:rPr>
        <w:t xml:space="preserve">.: </w:t>
      </w:r>
      <w:r w:rsidRPr="003D6721">
        <w:rPr>
          <w:rFonts w:ascii="Times New Roman" w:hAnsi="Times New Roman" w:cs="Times New Roman"/>
          <w:sz w:val="24"/>
          <w:szCs w:val="24"/>
          <w:lang w:val="bs-Latn-BA"/>
        </w:rPr>
        <w:t>Razvoj evropskog privatnog prava</w:t>
      </w:r>
    </w:p>
    <w:p w:rsidR="00C81502" w:rsidRPr="003D6721" w:rsidRDefault="00C81502" w:rsidP="00C81502">
      <w:pPr>
        <w:spacing w:line="276" w:lineRule="auto"/>
        <w:rPr>
          <w:rFonts w:ascii="Times New Roman" w:hAnsi="Times New Roman" w:cs="Times New Roman"/>
          <w:sz w:val="24"/>
          <w:szCs w:val="24"/>
          <w:lang w:val="bs-Latn-BA"/>
        </w:rPr>
      </w:pPr>
      <w:r w:rsidRPr="006549A2">
        <w:rPr>
          <w:rFonts w:ascii="Times New Roman" w:hAnsi="Times New Roman" w:cs="Times New Roman"/>
          <w:b/>
          <w:sz w:val="24"/>
          <w:szCs w:val="24"/>
          <w:lang w:val="bs-Latn-BA"/>
        </w:rPr>
        <w:t>30.03.2020</w:t>
      </w:r>
      <w:r>
        <w:rPr>
          <w:rFonts w:ascii="Times New Roman" w:hAnsi="Times New Roman" w:cs="Times New Roman"/>
          <w:sz w:val="24"/>
          <w:szCs w:val="24"/>
          <w:lang w:val="bs-Latn-BA"/>
        </w:rPr>
        <w:t xml:space="preserve">.: </w:t>
      </w:r>
      <w:r w:rsidRPr="003D6721">
        <w:rPr>
          <w:rFonts w:ascii="Times New Roman" w:hAnsi="Times New Roman" w:cs="Times New Roman"/>
          <w:sz w:val="24"/>
          <w:szCs w:val="24"/>
          <w:lang w:val="bs-Latn-BA"/>
        </w:rPr>
        <w:t>Privatno-pravni aspekti unutarnjeg tržišta, načela evropskog pr</w:t>
      </w:r>
      <w:r>
        <w:rPr>
          <w:rFonts w:ascii="Times New Roman" w:hAnsi="Times New Roman" w:cs="Times New Roman"/>
          <w:sz w:val="24"/>
          <w:szCs w:val="24"/>
          <w:lang w:val="bs-Latn-BA"/>
        </w:rPr>
        <w:t>i</w:t>
      </w:r>
      <w:r w:rsidRPr="003D6721">
        <w:rPr>
          <w:rFonts w:ascii="Times New Roman" w:hAnsi="Times New Roman" w:cs="Times New Roman"/>
          <w:sz w:val="24"/>
          <w:szCs w:val="24"/>
          <w:lang w:val="bs-Latn-BA"/>
        </w:rPr>
        <w:t>vatnog prava</w:t>
      </w:r>
      <w:r>
        <w:rPr>
          <w:rFonts w:ascii="Times New Roman" w:hAnsi="Times New Roman" w:cs="Times New Roman"/>
          <w:sz w:val="24"/>
          <w:szCs w:val="24"/>
          <w:lang w:val="bs-Latn-BA"/>
        </w:rPr>
        <w:t>, izvori evropskog privatnog prava</w:t>
      </w:r>
    </w:p>
    <w:p w:rsidR="00C81502" w:rsidRPr="006549A2" w:rsidRDefault="00C81502" w:rsidP="00C81502">
      <w:pPr>
        <w:spacing w:line="276" w:lineRule="auto"/>
        <w:rPr>
          <w:rFonts w:ascii="Times New Roman" w:hAnsi="Times New Roman" w:cs="Times New Roman"/>
          <w:sz w:val="24"/>
          <w:szCs w:val="24"/>
          <w:lang w:val="bs-Latn-BA"/>
        </w:rPr>
      </w:pPr>
      <w:r>
        <w:rPr>
          <w:rFonts w:ascii="Times New Roman" w:hAnsi="Times New Roman" w:cs="Times New Roman"/>
          <w:b/>
          <w:sz w:val="24"/>
          <w:szCs w:val="24"/>
          <w:lang w:val="bs-Latn-BA"/>
        </w:rPr>
        <w:t xml:space="preserve">06.04., 13.04. i 20.04.2020 – </w:t>
      </w:r>
      <w:r w:rsidRPr="006549A2">
        <w:rPr>
          <w:rFonts w:ascii="Times New Roman" w:hAnsi="Times New Roman" w:cs="Times New Roman"/>
          <w:sz w:val="24"/>
          <w:szCs w:val="24"/>
          <w:lang w:val="bs-Latn-BA"/>
        </w:rPr>
        <w:t xml:space="preserve">nema nastavnih aktivnosti.  </w:t>
      </w:r>
      <w:r>
        <w:rPr>
          <w:rFonts w:ascii="Times New Roman" w:hAnsi="Times New Roman" w:cs="Times New Roman"/>
          <w:sz w:val="24"/>
          <w:szCs w:val="24"/>
          <w:lang w:val="bs-Latn-BA"/>
        </w:rPr>
        <w:t>Ovo će vrijeme biti iskorišteno da s</w:t>
      </w:r>
      <w:r w:rsidRPr="006549A2">
        <w:rPr>
          <w:rFonts w:ascii="Times New Roman" w:hAnsi="Times New Roman" w:cs="Times New Roman"/>
          <w:sz w:val="24"/>
          <w:szCs w:val="24"/>
          <w:lang w:val="bs-Latn-BA"/>
        </w:rPr>
        <w:t>tudenti priprem</w:t>
      </w:r>
      <w:r>
        <w:rPr>
          <w:rFonts w:ascii="Times New Roman" w:hAnsi="Times New Roman" w:cs="Times New Roman"/>
          <w:sz w:val="24"/>
          <w:szCs w:val="24"/>
          <w:lang w:val="bs-Latn-BA"/>
        </w:rPr>
        <w:t>e</w:t>
      </w:r>
      <w:r w:rsidRPr="006549A2">
        <w:rPr>
          <w:rFonts w:ascii="Times New Roman" w:hAnsi="Times New Roman" w:cs="Times New Roman"/>
          <w:sz w:val="24"/>
          <w:szCs w:val="24"/>
          <w:lang w:val="bs-Latn-BA"/>
        </w:rPr>
        <w:t xml:space="preserve"> uz konsultacije sa predmetnim nastavnikom analizu </w:t>
      </w:r>
      <w:r>
        <w:rPr>
          <w:rFonts w:ascii="Times New Roman" w:hAnsi="Times New Roman" w:cs="Times New Roman"/>
          <w:sz w:val="24"/>
          <w:szCs w:val="24"/>
          <w:lang w:val="bs-Latn-BA"/>
        </w:rPr>
        <w:t>izabra</w:t>
      </w:r>
      <w:r w:rsidRPr="006549A2">
        <w:rPr>
          <w:rFonts w:ascii="Times New Roman" w:hAnsi="Times New Roman" w:cs="Times New Roman"/>
          <w:sz w:val="24"/>
          <w:szCs w:val="24"/>
          <w:lang w:val="bs-Latn-BA"/>
        </w:rPr>
        <w:t xml:space="preserve">ne presude Suda EU koja se odnosi na nepravične klauzule. Studentima se stavlja na raspolaganje </w:t>
      </w:r>
      <w:r>
        <w:rPr>
          <w:rFonts w:ascii="Times New Roman" w:hAnsi="Times New Roman" w:cs="Times New Roman"/>
          <w:sz w:val="24"/>
          <w:szCs w:val="24"/>
          <w:lang w:val="bs-Latn-BA"/>
        </w:rPr>
        <w:t>o</w:t>
      </w:r>
      <w:r w:rsidRPr="006549A2">
        <w:rPr>
          <w:rFonts w:ascii="Times New Roman" w:hAnsi="Times New Roman" w:cs="Times New Roman"/>
          <w:sz w:val="24"/>
          <w:szCs w:val="24"/>
          <w:lang w:val="bs-Latn-BA"/>
        </w:rPr>
        <w:t>dgovarajuća literatura</w:t>
      </w:r>
      <w:r>
        <w:rPr>
          <w:rFonts w:ascii="Times New Roman" w:hAnsi="Times New Roman" w:cs="Times New Roman"/>
          <w:sz w:val="24"/>
          <w:szCs w:val="24"/>
          <w:lang w:val="bs-Latn-BA"/>
        </w:rPr>
        <w:t xml:space="preserve"> vezana za Direktivu 1993/13/EEZ</w:t>
      </w:r>
      <w:r w:rsidRPr="006549A2">
        <w:rPr>
          <w:rFonts w:ascii="Times New Roman" w:hAnsi="Times New Roman" w:cs="Times New Roman"/>
          <w:sz w:val="24"/>
          <w:szCs w:val="24"/>
          <w:lang w:val="bs-Latn-BA"/>
        </w:rPr>
        <w:t xml:space="preserve">. </w:t>
      </w:r>
    </w:p>
    <w:p w:rsidR="00C81502" w:rsidRDefault="00C81502" w:rsidP="00C81502">
      <w:pPr>
        <w:spacing w:line="276" w:lineRule="auto"/>
        <w:jc w:val="both"/>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27.04.2020: </w:t>
      </w:r>
      <w:r w:rsidRPr="006549A2">
        <w:rPr>
          <w:rFonts w:ascii="Times New Roman" w:hAnsi="Times New Roman" w:cs="Times New Roman"/>
          <w:sz w:val="24"/>
          <w:szCs w:val="24"/>
          <w:lang w:val="bs-Latn-BA"/>
        </w:rPr>
        <w:t xml:space="preserve">razgovor sa studentima o navedenim temama. Očekuje sa da studenti kroz individualni rad i konsultacije sa nastavnikom budu spremni analizirati Direktivu 1993/13/EEZ,  diskutirati o tome kako je usklađeno pravo BiH sa ovom Direktivom, te biti spremni da izlože odluku </w:t>
      </w:r>
      <w:r>
        <w:rPr>
          <w:rFonts w:ascii="Times New Roman" w:hAnsi="Times New Roman" w:cs="Times New Roman"/>
          <w:sz w:val="24"/>
          <w:szCs w:val="24"/>
          <w:lang w:val="bs-Latn-BA"/>
        </w:rPr>
        <w:t xml:space="preserve">Suda EU </w:t>
      </w:r>
      <w:r w:rsidRPr="006549A2">
        <w:rPr>
          <w:rFonts w:ascii="Times New Roman" w:hAnsi="Times New Roman" w:cs="Times New Roman"/>
          <w:sz w:val="24"/>
          <w:szCs w:val="24"/>
          <w:lang w:val="bs-Latn-BA"/>
        </w:rPr>
        <w:t>koju im je dodijelio nastavnik. Ovo će se ujedno smatrati prvom provjerom znanja koja nosi 40 poena</w:t>
      </w:r>
      <w:r>
        <w:rPr>
          <w:rFonts w:ascii="Times New Roman" w:hAnsi="Times New Roman" w:cs="Times New Roman"/>
          <w:b/>
          <w:sz w:val="24"/>
          <w:szCs w:val="24"/>
          <w:lang w:val="bs-Latn-BA"/>
        </w:rPr>
        <w:t>.</w:t>
      </w:r>
    </w:p>
    <w:p w:rsidR="00C81502" w:rsidRDefault="00C81502" w:rsidP="00C81502">
      <w:pPr>
        <w:spacing w:line="276" w:lineRule="auto"/>
        <w:rPr>
          <w:rFonts w:ascii="Times New Roman" w:hAnsi="Times New Roman" w:cs="Times New Roman"/>
          <w:sz w:val="24"/>
          <w:szCs w:val="24"/>
          <w:lang w:val="bs-Latn-BA"/>
        </w:rPr>
      </w:pPr>
      <w:r>
        <w:rPr>
          <w:rFonts w:ascii="Times New Roman" w:hAnsi="Times New Roman" w:cs="Times New Roman"/>
          <w:b/>
          <w:sz w:val="24"/>
          <w:szCs w:val="24"/>
          <w:lang w:val="bs-Latn-BA"/>
        </w:rPr>
        <w:t xml:space="preserve">04.05.2020: </w:t>
      </w:r>
      <w:r w:rsidRPr="003D6721">
        <w:rPr>
          <w:rFonts w:ascii="Times New Roman" w:hAnsi="Times New Roman" w:cs="Times New Roman"/>
          <w:sz w:val="24"/>
          <w:szCs w:val="24"/>
          <w:lang w:val="bs-Latn-BA"/>
        </w:rPr>
        <w:t>Privatno-pravni aspekti unutarnjeg tržišta, načela evropskog pr</w:t>
      </w:r>
      <w:r>
        <w:rPr>
          <w:rFonts w:ascii="Times New Roman" w:hAnsi="Times New Roman" w:cs="Times New Roman"/>
          <w:sz w:val="24"/>
          <w:szCs w:val="24"/>
          <w:lang w:val="bs-Latn-BA"/>
        </w:rPr>
        <w:t>i</w:t>
      </w:r>
      <w:r w:rsidRPr="003D6721">
        <w:rPr>
          <w:rFonts w:ascii="Times New Roman" w:hAnsi="Times New Roman" w:cs="Times New Roman"/>
          <w:sz w:val="24"/>
          <w:szCs w:val="24"/>
          <w:lang w:val="bs-Latn-BA"/>
        </w:rPr>
        <w:t>vatnog prava</w:t>
      </w:r>
      <w:r>
        <w:rPr>
          <w:rFonts w:ascii="Times New Roman" w:hAnsi="Times New Roman" w:cs="Times New Roman"/>
          <w:sz w:val="24"/>
          <w:szCs w:val="24"/>
          <w:lang w:val="bs-Latn-BA"/>
        </w:rPr>
        <w:t>, izvori evropskog privatnog prava</w:t>
      </w:r>
    </w:p>
    <w:p w:rsidR="00C81502" w:rsidRDefault="00C81502" w:rsidP="00C81502">
      <w:pPr>
        <w:spacing w:line="276" w:lineRule="auto"/>
        <w:rPr>
          <w:rFonts w:ascii="Times New Roman" w:hAnsi="Times New Roman" w:cs="Times New Roman"/>
          <w:sz w:val="24"/>
          <w:szCs w:val="24"/>
          <w:lang w:val="bs-Latn-BA"/>
        </w:rPr>
      </w:pPr>
      <w:r w:rsidRPr="006549A2">
        <w:rPr>
          <w:rFonts w:ascii="Times New Roman" w:hAnsi="Times New Roman" w:cs="Times New Roman"/>
          <w:b/>
          <w:sz w:val="24"/>
          <w:szCs w:val="24"/>
          <w:lang w:val="bs-Latn-BA"/>
        </w:rPr>
        <w:t>11.05.2020</w:t>
      </w:r>
      <w:r>
        <w:rPr>
          <w:rFonts w:ascii="Times New Roman" w:hAnsi="Times New Roman" w:cs="Times New Roman"/>
          <w:sz w:val="24"/>
          <w:szCs w:val="24"/>
          <w:lang w:val="bs-Latn-BA"/>
        </w:rPr>
        <w:t>: Ugovorno i potrošačko pravo EU</w:t>
      </w:r>
    </w:p>
    <w:p w:rsidR="00C81502" w:rsidRDefault="00C81502" w:rsidP="00C81502">
      <w:pPr>
        <w:spacing w:line="276" w:lineRule="auto"/>
        <w:rPr>
          <w:rFonts w:ascii="Times New Roman" w:hAnsi="Times New Roman" w:cs="Times New Roman"/>
          <w:sz w:val="24"/>
          <w:szCs w:val="24"/>
          <w:lang w:val="bs-Latn-BA"/>
        </w:rPr>
      </w:pPr>
      <w:r w:rsidRPr="006549A2">
        <w:rPr>
          <w:rFonts w:ascii="Times New Roman" w:hAnsi="Times New Roman" w:cs="Times New Roman"/>
          <w:b/>
          <w:sz w:val="24"/>
          <w:szCs w:val="24"/>
          <w:lang w:val="bs-Latn-BA"/>
        </w:rPr>
        <w:t>18.05.2020</w:t>
      </w:r>
      <w:r>
        <w:rPr>
          <w:rFonts w:ascii="Times New Roman" w:hAnsi="Times New Roman" w:cs="Times New Roman"/>
          <w:sz w:val="24"/>
          <w:szCs w:val="24"/>
          <w:lang w:val="bs-Latn-BA"/>
        </w:rPr>
        <w:t>: Nasljedno i porodično pravo EU</w:t>
      </w:r>
    </w:p>
    <w:p w:rsidR="00C81502" w:rsidRDefault="00C81502" w:rsidP="00C81502">
      <w:pPr>
        <w:spacing w:line="276" w:lineRule="auto"/>
        <w:rPr>
          <w:rFonts w:ascii="Times New Roman" w:hAnsi="Times New Roman" w:cs="Times New Roman"/>
          <w:sz w:val="24"/>
          <w:szCs w:val="24"/>
          <w:lang w:val="bs-Latn-BA"/>
        </w:rPr>
      </w:pPr>
      <w:r w:rsidRPr="006549A2">
        <w:rPr>
          <w:rFonts w:ascii="Times New Roman" w:hAnsi="Times New Roman" w:cs="Times New Roman"/>
          <w:b/>
          <w:sz w:val="24"/>
          <w:szCs w:val="24"/>
          <w:lang w:val="bs-Latn-BA"/>
        </w:rPr>
        <w:t>25.05.2020</w:t>
      </w:r>
      <w:r>
        <w:rPr>
          <w:rFonts w:ascii="Times New Roman" w:hAnsi="Times New Roman" w:cs="Times New Roman"/>
          <w:sz w:val="24"/>
          <w:szCs w:val="24"/>
          <w:lang w:val="bs-Latn-BA"/>
        </w:rPr>
        <w:t>: Neradni dan. Kao zamjena za ove časove će u termini koji bude dogovoren biti organiziran posjet Delegaciji Evropske komisije u BiH</w:t>
      </w:r>
    </w:p>
    <w:p w:rsidR="00C81502" w:rsidRPr="003D6721" w:rsidRDefault="00C81502" w:rsidP="00C81502">
      <w:pPr>
        <w:spacing w:line="276" w:lineRule="auto"/>
        <w:rPr>
          <w:rFonts w:ascii="Times New Roman" w:hAnsi="Times New Roman" w:cs="Times New Roman"/>
          <w:b/>
          <w:sz w:val="24"/>
          <w:szCs w:val="24"/>
          <w:lang w:val="bs-Latn-BA"/>
        </w:rPr>
      </w:pPr>
      <w:r w:rsidRPr="006549A2">
        <w:rPr>
          <w:rFonts w:ascii="Times New Roman" w:hAnsi="Times New Roman" w:cs="Times New Roman"/>
          <w:b/>
          <w:sz w:val="24"/>
          <w:szCs w:val="24"/>
          <w:lang w:val="bs-Latn-BA"/>
        </w:rPr>
        <w:t>01.06.2020</w:t>
      </w:r>
      <w:r>
        <w:rPr>
          <w:rFonts w:ascii="Times New Roman" w:hAnsi="Times New Roman" w:cs="Times New Roman"/>
          <w:sz w:val="24"/>
          <w:szCs w:val="24"/>
          <w:lang w:val="bs-Latn-BA"/>
        </w:rPr>
        <w:t>: Repetitorij</w:t>
      </w:r>
    </w:p>
    <w:p w:rsidR="00C81502" w:rsidRPr="003D6721" w:rsidRDefault="00C81502" w:rsidP="00C81502">
      <w:pPr>
        <w:spacing w:line="276" w:lineRule="auto"/>
        <w:rPr>
          <w:rFonts w:ascii="Times New Roman" w:hAnsi="Times New Roman" w:cs="Times New Roman"/>
          <w:sz w:val="24"/>
          <w:szCs w:val="24"/>
          <w:lang w:val="bs-Latn-BA"/>
        </w:rPr>
      </w:pPr>
    </w:p>
    <w:p w:rsidR="009442CA" w:rsidRDefault="009442CA">
      <w:bookmarkStart w:id="0" w:name="_GoBack"/>
      <w:bookmarkEnd w:id="0"/>
    </w:p>
    <w:sectPr w:rsidR="00944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02"/>
    <w:rsid w:val="009442CA"/>
    <w:rsid w:val="00C8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C79A8-5CE6-442A-AABF-C75A9DD5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02"/>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502"/>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2020-02-26T18:23:00Z</dcterms:created>
  <dcterms:modified xsi:type="dcterms:W3CDTF">2020-02-26T18:24:00Z</dcterms:modified>
</cp:coreProperties>
</file>