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3"/>
        <w:gridCol w:w="1547"/>
        <w:gridCol w:w="141"/>
        <w:gridCol w:w="1029"/>
        <w:gridCol w:w="388"/>
        <w:gridCol w:w="1133"/>
        <w:gridCol w:w="425"/>
        <w:gridCol w:w="1669"/>
      </w:tblGrid>
      <w:tr w:rsidR="00A909D5" w:rsidRPr="001735A7" w:rsidTr="00515D12">
        <w:tc>
          <w:tcPr>
            <w:tcW w:w="9285" w:type="dxa"/>
            <w:gridSpan w:val="8"/>
            <w:tcBorders>
              <w:top w:val="single" w:sz="4" w:space="0" w:color="auto"/>
              <w:left w:val="single" w:sz="4" w:space="0" w:color="auto"/>
              <w:bottom w:val="single" w:sz="4" w:space="0" w:color="auto"/>
              <w:right w:val="single" w:sz="4" w:space="0" w:color="auto"/>
            </w:tcBorders>
          </w:tcPr>
          <w:p w:rsidR="00A909D5" w:rsidRPr="001735A7" w:rsidRDefault="00A909D5" w:rsidP="00515D12">
            <w:pPr>
              <w:spacing w:after="0" w:line="240" w:lineRule="auto"/>
              <w:jc w:val="center"/>
              <w:rPr>
                <w:rFonts w:eastAsia="SimSun" w:cs="Calibri"/>
                <w:b/>
                <w:bCs/>
                <w:i/>
                <w:lang w:eastAsia="de-DE"/>
              </w:rPr>
            </w:pPr>
            <w:r w:rsidRPr="001735A7">
              <w:rPr>
                <w:rFonts w:eastAsia="SimSun" w:cs="Calibri"/>
                <w:b/>
                <w:bCs/>
                <w:lang w:eastAsia="de-DE"/>
              </w:rPr>
              <w:t>Pravni fakultet Univerziteta u Sarajevu – Katedra za Građansko pravo</w:t>
            </w:r>
          </w:p>
          <w:p w:rsidR="00A909D5" w:rsidRPr="001735A7" w:rsidRDefault="00A909D5" w:rsidP="00515D12">
            <w:pPr>
              <w:spacing w:after="0" w:line="240" w:lineRule="auto"/>
              <w:jc w:val="center"/>
              <w:rPr>
                <w:rFonts w:eastAsia="SimSun" w:cs="Calibri"/>
                <w:b/>
                <w:bCs/>
                <w:lang w:eastAsia="de-DE"/>
              </w:rPr>
            </w:pPr>
          </w:p>
        </w:tc>
      </w:tr>
      <w:tr w:rsidR="00A909D5" w:rsidRPr="001735A7" w:rsidTr="00515D12">
        <w:trPr>
          <w:trHeight w:val="220"/>
        </w:trPr>
        <w:tc>
          <w:tcPr>
            <w:tcW w:w="2953" w:type="dxa"/>
            <w:vMerge w:val="restart"/>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Naziv i šifra predmeta</w:t>
            </w:r>
          </w:p>
        </w:tc>
        <w:tc>
          <w:tcPr>
            <w:tcW w:w="4663" w:type="dxa"/>
            <w:gridSpan w:val="6"/>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jc w:val="center"/>
              <w:rPr>
                <w:rFonts w:eastAsia="SimSun" w:cs="Calibri"/>
                <w:lang w:eastAsia="de-DE"/>
              </w:rPr>
            </w:pPr>
            <w:r w:rsidRPr="001735A7">
              <w:rPr>
                <w:rFonts w:eastAsia="SimSun" w:cs="Calibri"/>
                <w:lang w:eastAsia="de-DE"/>
              </w:rPr>
              <w:t>Naziv predmeta</w:t>
            </w:r>
          </w:p>
        </w:tc>
        <w:tc>
          <w:tcPr>
            <w:tcW w:w="1669" w:type="dxa"/>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jc w:val="center"/>
              <w:rPr>
                <w:rFonts w:eastAsia="SimSun" w:cs="Calibri"/>
                <w:lang w:eastAsia="de-DE"/>
              </w:rPr>
            </w:pPr>
            <w:r w:rsidRPr="001735A7">
              <w:rPr>
                <w:rFonts w:eastAsia="SimSun" w:cs="Calibri"/>
                <w:lang w:eastAsia="de-DE"/>
              </w:rPr>
              <w:t>Šifra</w:t>
            </w:r>
          </w:p>
        </w:tc>
      </w:tr>
      <w:tr w:rsidR="00A909D5" w:rsidRPr="001735A7" w:rsidTr="00515D12">
        <w:trPr>
          <w:trHeight w:val="320"/>
        </w:trPr>
        <w:tc>
          <w:tcPr>
            <w:tcW w:w="2953" w:type="dxa"/>
            <w:vMerge/>
            <w:tcBorders>
              <w:top w:val="single" w:sz="4" w:space="0" w:color="auto"/>
              <w:left w:val="single" w:sz="4" w:space="0" w:color="auto"/>
              <w:bottom w:val="single" w:sz="4" w:space="0" w:color="auto"/>
              <w:right w:val="single" w:sz="4" w:space="0" w:color="auto"/>
            </w:tcBorders>
            <w:vAlign w:val="center"/>
            <w:hideMark/>
          </w:tcPr>
          <w:p w:rsidR="00A909D5" w:rsidRPr="001735A7" w:rsidRDefault="00A909D5" w:rsidP="00515D12">
            <w:pPr>
              <w:spacing w:after="0" w:line="240" w:lineRule="auto"/>
              <w:rPr>
                <w:rFonts w:eastAsia="SimSun" w:cs="Calibri"/>
                <w:b/>
                <w:bCs/>
                <w:lang w:eastAsia="de-DE"/>
              </w:rPr>
            </w:pPr>
          </w:p>
        </w:tc>
        <w:tc>
          <w:tcPr>
            <w:tcW w:w="4663" w:type="dxa"/>
            <w:gridSpan w:val="6"/>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sidRPr="00DF2356">
              <w:rPr>
                <w:rFonts w:ascii="Times New Roman" w:hAnsi="Times New Roman"/>
                <w:b/>
                <w:sz w:val="24"/>
                <w:szCs w:val="24"/>
              </w:rPr>
              <w:t>Klinika iz prava međunarodne prodaje robe i arbitražnog prava</w:t>
            </w:r>
          </w:p>
        </w:tc>
        <w:tc>
          <w:tcPr>
            <w:tcW w:w="1669" w:type="dxa"/>
            <w:tcBorders>
              <w:top w:val="single" w:sz="4" w:space="0" w:color="auto"/>
              <w:left w:val="single" w:sz="4" w:space="0" w:color="auto"/>
              <w:bottom w:val="single" w:sz="4" w:space="0" w:color="auto"/>
              <w:right w:val="single" w:sz="4" w:space="0" w:color="auto"/>
            </w:tcBorders>
          </w:tcPr>
          <w:p w:rsidR="00A909D5" w:rsidRPr="001735A7" w:rsidRDefault="00A909D5" w:rsidP="00515D12">
            <w:pPr>
              <w:spacing w:after="0" w:line="240" w:lineRule="auto"/>
              <w:jc w:val="center"/>
              <w:rPr>
                <w:rFonts w:eastAsia="SimSun" w:cs="Calibri"/>
                <w:b/>
                <w:lang w:eastAsia="de-DE"/>
              </w:rPr>
            </w:pPr>
            <w:r w:rsidRPr="001735A7">
              <w:rPr>
                <w:rFonts w:eastAsia="SimSun" w:cs="Calibri"/>
                <w:b/>
                <w:lang w:eastAsia="de-DE"/>
              </w:rPr>
              <w:t>IUR 64</w:t>
            </w:r>
            <w:r>
              <w:rPr>
                <w:rFonts w:eastAsia="SimSun" w:cs="Calibri"/>
                <w:b/>
                <w:lang w:eastAsia="de-DE"/>
              </w:rPr>
              <w:t>22i</w:t>
            </w:r>
            <w:r w:rsidRPr="001735A7">
              <w:rPr>
                <w:rFonts w:eastAsia="SimSun" w:cs="Calibri"/>
                <w:b/>
                <w:lang w:eastAsia="de-DE"/>
              </w:rPr>
              <w:t>g</w:t>
            </w:r>
          </w:p>
        </w:tc>
      </w:tr>
      <w:tr w:rsidR="00A909D5" w:rsidRPr="001735A7" w:rsidTr="00515D12">
        <w:trPr>
          <w:trHeight w:val="190"/>
        </w:trPr>
        <w:tc>
          <w:tcPr>
            <w:tcW w:w="2953" w:type="dxa"/>
            <w:vMerge w:val="restart"/>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Ciklus/godina/semestar/</w:t>
            </w:r>
          </w:p>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broj ECTS kredita</w:t>
            </w:r>
          </w:p>
        </w:tc>
        <w:tc>
          <w:tcPr>
            <w:tcW w:w="1547" w:type="dxa"/>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jc w:val="center"/>
              <w:rPr>
                <w:rFonts w:eastAsia="SimSun" w:cs="Calibri"/>
                <w:lang w:eastAsia="de-DE"/>
              </w:rPr>
            </w:pPr>
            <w:r w:rsidRPr="001735A7">
              <w:rPr>
                <w:rFonts w:eastAsia="SimSun" w:cs="Calibri"/>
                <w:lang w:eastAsia="de-DE"/>
              </w:rPr>
              <w:t>Ciklus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jc w:val="center"/>
              <w:rPr>
                <w:rFonts w:eastAsia="SimSun" w:cs="Calibri"/>
                <w:lang w:eastAsia="de-DE"/>
              </w:rPr>
            </w:pPr>
            <w:r w:rsidRPr="001735A7">
              <w:rPr>
                <w:rFonts w:eastAsia="SimSun" w:cs="Calibri"/>
                <w:lang w:eastAsia="de-DE"/>
              </w:rPr>
              <w:t>Godina</w:t>
            </w:r>
          </w:p>
        </w:tc>
        <w:tc>
          <w:tcPr>
            <w:tcW w:w="1521" w:type="dxa"/>
            <w:gridSpan w:val="2"/>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jc w:val="center"/>
              <w:rPr>
                <w:rFonts w:eastAsia="SimSun" w:cs="Calibri"/>
                <w:lang w:eastAsia="de-DE"/>
              </w:rPr>
            </w:pPr>
            <w:r w:rsidRPr="001735A7">
              <w:rPr>
                <w:rFonts w:eastAsia="SimSun" w:cs="Calibri"/>
                <w:lang w:eastAsia="de-DE"/>
              </w:rPr>
              <w:t>Semestar</w:t>
            </w:r>
          </w:p>
        </w:tc>
        <w:tc>
          <w:tcPr>
            <w:tcW w:w="2094" w:type="dxa"/>
            <w:gridSpan w:val="2"/>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jc w:val="center"/>
              <w:rPr>
                <w:rFonts w:eastAsia="SimSun" w:cs="Calibri"/>
                <w:b/>
                <w:lang w:eastAsia="de-DE"/>
              </w:rPr>
            </w:pPr>
            <w:r w:rsidRPr="001735A7">
              <w:rPr>
                <w:rFonts w:eastAsia="SimSun" w:cs="Calibri"/>
                <w:lang w:eastAsia="de-DE"/>
              </w:rPr>
              <w:t>Broj ECTS kredita</w:t>
            </w:r>
          </w:p>
        </w:tc>
      </w:tr>
      <w:tr w:rsidR="00A909D5" w:rsidRPr="001735A7" w:rsidTr="00515D12">
        <w:trPr>
          <w:trHeight w:val="340"/>
        </w:trPr>
        <w:tc>
          <w:tcPr>
            <w:tcW w:w="2953" w:type="dxa"/>
            <w:vMerge/>
            <w:tcBorders>
              <w:top w:val="single" w:sz="4" w:space="0" w:color="auto"/>
              <w:left w:val="single" w:sz="4" w:space="0" w:color="auto"/>
              <w:bottom w:val="single" w:sz="4" w:space="0" w:color="auto"/>
              <w:right w:val="single" w:sz="4" w:space="0" w:color="auto"/>
            </w:tcBorders>
            <w:vAlign w:val="center"/>
            <w:hideMark/>
          </w:tcPr>
          <w:p w:rsidR="00A909D5" w:rsidRPr="001735A7" w:rsidRDefault="00A909D5" w:rsidP="00515D12">
            <w:pPr>
              <w:spacing w:after="0" w:line="240" w:lineRule="auto"/>
              <w:rPr>
                <w:rFonts w:eastAsia="SimSun" w:cs="Calibri"/>
                <w:b/>
                <w:bCs/>
                <w:lang w:eastAsia="de-DE"/>
              </w:rPr>
            </w:pPr>
          </w:p>
        </w:tc>
        <w:tc>
          <w:tcPr>
            <w:tcW w:w="1547" w:type="dxa"/>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sidRPr="001735A7">
              <w:rPr>
                <w:rFonts w:eastAsia="SimSun" w:cs="Calibri"/>
                <w:b/>
                <w:lang w:eastAsia="de-DE"/>
              </w:rPr>
              <w:t>I</w:t>
            </w:r>
          </w:p>
        </w:tc>
        <w:tc>
          <w:tcPr>
            <w:tcW w:w="1170" w:type="dxa"/>
            <w:gridSpan w:val="2"/>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Pr>
                <w:rFonts w:eastAsia="SimSun" w:cs="Calibri"/>
                <w:b/>
                <w:lang w:eastAsia="de-DE"/>
              </w:rPr>
              <w:t>III</w:t>
            </w:r>
          </w:p>
        </w:tc>
        <w:tc>
          <w:tcPr>
            <w:tcW w:w="1521" w:type="dxa"/>
            <w:gridSpan w:val="2"/>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Pr>
                <w:rFonts w:eastAsia="SimSun" w:cs="Calibri"/>
                <w:b/>
                <w:lang w:eastAsia="de-DE"/>
              </w:rPr>
              <w:t>VI</w:t>
            </w:r>
          </w:p>
        </w:tc>
        <w:tc>
          <w:tcPr>
            <w:tcW w:w="2094" w:type="dxa"/>
            <w:gridSpan w:val="2"/>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sidRPr="001735A7">
              <w:rPr>
                <w:rFonts w:eastAsia="SimSun" w:cs="Calibri"/>
                <w:b/>
                <w:lang w:eastAsia="de-DE"/>
              </w:rPr>
              <w:t>3</w:t>
            </w:r>
          </w:p>
        </w:tc>
      </w:tr>
      <w:tr w:rsidR="00A909D5" w:rsidRPr="001735A7" w:rsidTr="00515D12">
        <w:tc>
          <w:tcPr>
            <w:tcW w:w="2953" w:type="dxa"/>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Nositelj/i predmeta</w:t>
            </w:r>
          </w:p>
        </w:tc>
        <w:tc>
          <w:tcPr>
            <w:tcW w:w="6332" w:type="dxa"/>
            <w:gridSpan w:val="7"/>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rPr>
                <w:rFonts w:eastAsia="SimSun" w:cs="Calibri"/>
                <w:b/>
                <w:lang w:eastAsia="de-DE"/>
              </w:rPr>
            </w:pPr>
            <w:r w:rsidRPr="001735A7">
              <w:rPr>
                <w:rFonts w:eastAsia="SimSun" w:cs="Calibri"/>
                <w:b/>
                <w:lang w:eastAsia="de-DE"/>
              </w:rPr>
              <w:t xml:space="preserve">Akademsko osoblje izabrano na naučnu oblast </w:t>
            </w:r>
            <w:r w:rsidRPr="001735A7">
              <w:rPr>
                <w:rFonts w:eastAsia="SimSun" w:cs="Calibri"/>
                <w:bCs/>
                <w:lang w:eastAsia="de-DE"/>
              </w:rPr>
              <w:t>Građansko pravo i Građansko procesno pravo</w:t>
            </w:r>
          </w:p>
        </w:tc>
      </w:tr>
      <w:tr w:rsidR="00A909D5" w:rsidRPr="001735A7" w:rsidTr="00515D12">
        <w:trPr>
          <w:trHeight w:val="319"/>
        </w:trPr>
        <w:tc>
          <w:tcPr>
            <w:tcW w:w="2953" w:type="dxa"/>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Status predmeta</w:t>
            </w:r>
          </w:p>
        </w:tc>
        <w:tc>
          <w:tcPr>
            <w:tcW w:w="6332" w:type="dxa"/>
            <w:gridSpan w:val="7"/>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rPr>
                <w:rFonts w:eastAsia="SimSun" w:cs="Calibri"/>
                <w:b/>
                <w:lang w:eastAsia="de-DE"/>
              </w:rPr>
            </w:pPr>
            <w:r w:rsidRPr="001735A7">
              <w:rPr>
                <w:rFonts w:eastAsia="SimSun" w:cs="Calibri"/>
                <w:b/>
                <w:lang w:eastAsia="de-DE"/>
              </w:rPr>
              <w:t>Izborni predmet</w:t>
            </w:r>
          </w:p>
        </w:tc>
      </w:tr>
      <w:tr w:rsidR="00A909D5" w:rsidRPr="001735A7" w:rsidTr="00515D12">
        <w:trPr>
          <w:trHeight w:val="390"/>
        </w:trPr>
        <w:tc>
          <w:tcPr>
            <w:tcW w:w="2953" w:type="dxa"/>
            <w:vMerge w:val="restart"/>
            <w:tcBorders>
              <w:top w:val="single" w:sz="4" w:space="0" w:color="auto"/>
              <w:left w:val="single" w:sz="4" w:space="0" w:color="auto"/>
              <w:bottom w:val="single" w:sz="4" w:space="0" w:color="auto"/>
              <w:right w:val="single" w:sz="4" w:space="0" w:color="auto"/>
            </w:tcBorders>
            <w:shd w:val="clear" w:color="auto" w:fill="E7E6E6"/>
          </w:tcPr>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Sedmični broj nastavnih sati prema načinu izvođenja nastave</w:t>
            </w:r>
          </w:p>
          <w:p w:rsidR="00A909D5" w:rsidRPr="001735A7" w:rsidRDefault="00A909D5" w:rsidP="00515D12">
            <w:pPr>
              <w:spacing w:after="0" w:line="240" w:lineRule="auto"/>
              <w:rPr>
                <w:rFonts w:eastAsia="SimSun" w:cs="Calibri"/>
                <w:b/>
                <w:bCs/>
                <w:lang w:eastAsia="de-DE"/>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lang w:eastAsia="de-DE"/>
              </w:rPr>
            </w:pPr>
            <w:r w:rsidRPr="001735A7">
              <w:rPr>
                <w:rFonts w:eastAsia="SimSun" w:cs="Calibri"/>
                <w:lang w:eastAsia="de-DE"/>
              </w:rPr>
              <w:t>Predavanja(P)</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lang w:eastAsia="de-DE"/>
              </w:rPr>
            </w:pPr>
            <w:r w:rsidRPr="001735A7">
              <w:rPr>
                <w:rFonts w:eastAsia="SimSun" w:cs="Calibri"/>
                <w:lang w:eastAsia="de-DE"/>
              </w:rPr>
              <w:t>Vježbe(V)</w:t>
            </w:r>
          </w:p>
        </w:tc>
        <w:tc>
          <w:tcPr>
            <w:tcW w:w="1558" w:type="dxa"/>
            <w:gridSpan w:val="2"/>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lang w:eastAsia="de-DE"/>
              </w:rPr>
            </w:pPr>
            <w:r w:rsidRPr="001735A7">
              <w:rPr>
                <w:rFonts w:eastAsia="SimSun" w:cs="Calibri"/>
                <w:lang w:eastAsia="de-DE"/>
              </w:rPr>
              <w:t>Seminar (S)</w:t>
            </w:r>
          </w:p>
        </w:tc>
        <w:tc>
          <w:tcPr>
            <w:tcW w:w="1669" w:type="dxa"/>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lang w:eastAsia="de-DE"/>
              </w:rPr>
            </w:pPr>
            <w:r w:rsidRPr="001735A7">
              <w:rPr>
                <w:rFonts w:eastAsia="SimSun" w:cs="Calibri"/>
                <w:lang w:eastAsia="de-DE"/>
              </w:rPr>
              <w:t>Studentska praksa ( SP)</w:t>
            </w:r>
          </w:p>
        </w:tc>
      </w:tr>
      <w:tr w:rsidR="00A909D5" w:rsidRPr="001735A7" w:rsidTr="00515D12">
        <w:trPr>
          <w:trHeight w:val="390"/>
        </w:trPr>
        <w:tc>
          <w:tcPr>
            <w:tcW w:w="2953" w:type="dxa"/>
            <w:vMerge/>
            <w:tcBorders>
              <w:top w:val="single" w:sz="4" w:space="0" w:color="auto"/>
              <w:left w:val="single" w:sz="4" w:space="0" w:color="auto"/>
              <w:bottom w:val="single" w:sz="4" w:space="0" w:color="auto"/>
              <w:right w:val="single" w:sz="4" w:space="0" w:color="auto"/>
            </w:tcBorders>
            <w:vAlign w:val="center"/>
            <w:hideMark/>
          </w:tcPr>
          <w:p w:rsidR="00A909D5" w:rsidRPr="001735A7" w:rsidRDefault="00A909D5" w:rsidP="00515D12">
            <w:pPr>
              <w:spacing w:after="0" w:line="240" w:lineRule="auto"/>
              <w:rPr>
                <w:rFonts w:eastAsia="SimSun" w:cs="Calibri"/>
                <w:b/>
                <w:bCs/>
                <w:lang w:eastAsia="de-DE"/>
              </w:rPr>
            </w:pPr>
          </w:p>
        </w:tc>
        <w:tc>
          <w:tcPr>
            <w:tcW w:w="1688" w:type="dxa"/>
            <w:gridSpan w:val="2"/>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sidRPr="001735A7">
              <w:rPr>
                <w:rFonts w:eastAsia="SimSun" w:cs="Calibri"/>
                <w:b/>
                <w:lang w:eastAsia="de-DE"/>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sidRPr="001735A7">
              <w:rPr>
                <w:rFonts w:eastAsia="SimSun" w:cs="Calibri"/>
                <w:b/>
                <w:lang w:eastAsia="de-DE"/>
              </w:rPr>
              <w:t>-</w:t>
            </w:r>
          </w:p>
        </w:tc>
        <w:tc>
          <w:tcPr>
            <w:tcW w:w="1558" w:type="dxa"/>
            <w:gridSpan w:val="2"/>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lang w:eastAsia="de-DE"/>
              </w:rPr>
            </w:pPr>
            <w:r w:rsidRPr="001735A7">
              <w:rPr>
                <w:rFonts w:eastAsia="SimSun" w:cs="Calibri"/>
                <w:lang w:eastAsia="de-DE"/>
              </w:rPr>
              <w:t>-</w:t>
            </w:r>
          </w:p>
        </w:tc>
        <w:tc>
          <w:tcPr>
            <w:tcW w:w="1669" w:type="dxa"/>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sidRPr="001735A7">
              <w:rPr>
                <w:rFonts w:eastAsia="SimSun" w:cs="Calibri"/>
                <w:b/>
                <w:lang w:eastAsia="de-DE"/>
              </w:rPr>
              <w:t>1</w:t>
            </w:r>
          </w:p>
        </w:tc>
      </w:tr>
      <w:tr w:rsidR="00A909D5" w:rsidRPr="001735A7" w:rsidTr="00515D12">
        <w:trPr>
          <w:trHeight w:val="220"/>
        </w:trPr>
        <w:tc>
          <w:tcPr>
            <w:tcW w:w="2953" w:type="dxa"/>
            <w:vMerge/>
            <w:tcBorders>
              <w:top w:val="single" w:sz="4" w:space="0" w:color="auto"/>
              <w:left w:val="single" w:sz="4" w:space="0" w:color="auto"/>
              <w:bottom w:val="single" w:sz="4" w:space="0" w:color="auto"/>
              <w:right w:val="single" w:sz="4" w:space="0" w:color="auto"/>
            </w:tcBorders>
            <w:vAlign w:val="center"/>
            <w:hideMark/>
          </w:tcPr>
          <w:p w:rsidR="00A909D5" w:rsidRPr="001735A7" w:rsidRDefault="00A909D5" w:rsidP="00515D12">
            <w:pPr>
              <w:spacing w:after="0" w:line="240" w:lineRule="auto"/>
              <w:rPr>
                <w:rFonts w:eastAsia="SimSun" w:cs="Calibri"/>
                <w:b/>
                <w:bCs/>
                <w:lang w:eastAsia="de-DE"/>
              </w:rPr>
            </w:pPr>
          </w:p>
        </w:tc>
        <w:tc>
          <w:tcPr>
            <w:tcW w:w="1688" w:type="dxa"/>
            <w:gridSpan w:val="2"/>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rPr>
                <w:rFonts w:eastAsia="SimSun" w:cs="Calibri"/>
                <w:lang w:eastAsia="de-DE"/>
              </w:rPr>
            </w:pPr>
            <w:r w:rsidRPr="001735A7">
              <w:rPr>
                <w:rFonts w:eastAsia="SimSun" w:cs="Calibri"/>
                <w:lang w:eastAsia="de-DE"/>
              </w:rPr>
              <w:t>Ukupno tokom semestra</w:t>
            </w:r>
          </w:p>
        </w:tc>
        <w:tc>
          <w:tcPr>
            <w:tcW w:w="4644" w:type="dxa"/>
            <w:gridSpan w:val="5"/>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center"/>
              <w:rPr>
                <w:rFonts w:eastAsia="SimSun" w:cs="Calibri"/>
                <w:b/>
                <w:lang w:eastAsia="de-DE"/>
              </w:rPr>
            </w:pPr>
            <w:r w:rsidRPr="001735A7">
              <w:rPr>
                <w:rFonts w:eastAsia="SimSun" w:cs="Calibri"/>
                <w:b/>
                <w:lang w:eastAsia="de-DE"/>
              </w:rPr>
              <w:t>15P+15SP = 30</w:t>
            </w:r>
          </w:p>
          <w:p w:rsidR="00A909D5" w:rsidRPr="001735A7" w:rsidRDefault="00A909D5" w:rsidP="00515D12">
            <w:pPr>
              <w:spacing w:after="0" w:line="240" w:lineRule="auto"/>
              <w:jc w:val="center"/>
              <w:rPr>
                <w:rFonts w:eastAsia="SimSun" w:cs="Calibri"/>
                <w:b/>
                <w:lang w:eastAsia="de-DE"/>
              </w:rPr>
            </w:pPr>
          </w:p>
        </w:tc>
      </w:tr>
      <w:tr w:rsidR="00A909D5" w:rsidRPr="001735A7" w:rsidTr="00515D12">
        <w:trPr>
          <w:trHeight w:val="220"/>
        </w:trPr>
        <w:tc>
          <w:tcPr>
            <w:tcW w:w="2953" w:type="dxa"/>
            <w:tcBorders>
              <w:top w:val="single" w:sz="4" w:space="0" w:color="auto"/>
              <w:left w:val="single" w:sz="4" w:space="0" w:color="auto"/>
              <w:bottom w:val="single" w:sz="4" w:space="0" w:color="auto"/>
              <w:right w:val="single" w:sz="4" w:space="0" w:color="auto"/>
            </w:tcBorders>
            <w:shd w:val="clear" w:color="auto" w:fill="E7E6E6"/>
          </w:tcPr>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Preduvjeti za upis</w:t>
            </w:r>
          </w:p>
        </w:tc>
        <w:tc>
          <w:tcPr>
            <w:tcW w:w="6332" w:type="dxa"/>
            <w:gridSpan w:val="7"/>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both"/>
              <w:rPr>
                <w:rFonts w:eastAsia="SimSun" w:cs="Calibri"/>
                <w:lang w:eastAsia="de-DE"/>
              </w:rPr>
            </w:pPr>
            <w:r w:rsidRPr="001735A7">
              <w:rPr>
                <w:rFonts w:eastAsia="SimSun" w:cs="Calibri"/>
                <w:lang w:eastAsia="de-DE"/>
              </w:rPr>
              <w:t>Za upis predmeta neophodno je ispuniti uvjete za upis u VI semestar</w:t>
            </w:r>
            <w:r>
              <w:rPr>
                <w:rFonts w:eastAsia="SimSun" w:cs="Calibri"/>
                <w:lang w:eastAsia="de-DE"/>
              </w:rPr>
              <w:t>, imati položen ispit iz Obligacionog prava I i imati odlično poznavanje engleskog jezika</w:t>
            </w:r>
            <w:r w:rsidRPr="001735A7">
              <w:rPr>
                <w:rFonts w:eastAsia="SimSun" w:cs="Calibri"/>
                <w:lang w:eastAsia="de-DE"/>
              </w:rPr>
              <w:t xml:space="preserve"> </w:t>
            </w:r>
          </w:p>
        </w:tc>
      </w:tr>
      <w:tr w:rsidR="00A909D5" w:rsidRPr="001735A7" w:rsidTr="00515D12">
        <w:tc>
          <w:tcPr>
            <w:tcW w:w="9285" w:type="dxa"/>
            <w:gridSpan w:val="8"/>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jc w:val="center"/>
              <w:rPr>
                <w:rFonts w:eastAsia="SimSun" w:cs="Calibri"/>
                <w:b/>
                <w:lang w:eastAsia="de-DE"/>
              </w:rPr>
            </w:pPr>
            <w:r w:rsidRPr="001735A7">
              <w:rPr>
                <w:rFonts w:eastAsia="SimSun" w:cs="Calibri"/>
                <w:b/>
                <w:lang w:eastAsia="de-DE"/>
              </w:rPr>
              <w:t>Opis predmeta</w:t>
            </w:r>
          </w:p>
        </w:tc>
      </w:tr>
      <w:tr w:rsidR="00A909D5" w:rsidRPr="001735A7" w:rsidTr="00515D12">
        <w:tc>
          <w:tcPr>
            <w:tcW w:w="2953" w:type="dxa"/>
            <w:tcBorders>
              <w:top w:val="single" w:sz="4" w:space="0" w:color="auto"/>
              <w:left w:val="single" w:sz="4" w:space="0" w:color="auto"/>
              <w:bottom w:val="single" w:sz="4" w:space="0" w:color="auto"/>
              <w:right w:val="single" w:sz="4" w:space="0" w:color="auto"/>
            </w:tcBorders>
            <w:shd w:val="clear" w:color="auto" w:fill="E7E6E6"/>
          </w:tcPr>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Cilj predmeta</w:t>
            </w:r>
          </w:p>
          <w:p w:rsidR="00A909D5" w:rsidRPr="001735A7" w:rsidRDefault="00A909D5" w:rsidP="00515D12">
            <w:pPr>
              <w:spacing w:after="0" w:line="240" w:lineRule="auto"/>
              <w:rPr>
                <w:rFonts w:eastAsia="SimSun" w:cs="Calibri"/>
                <w:b/>
                <w:bCs/>
                <w:lang w:eastAsia="de-DE"/>
              </w:rPr>
            </w:pPr>
          </w:p>
        </w:tc>
        <w:tc>
          <w:tcPr>
            <w:tcW w:w="6332" w:type="dxa"/>
            <w:gridSpan w:val="7"/>
            <w:tcBorders>
              <w:top w:val="single" w:sz="4" w:space="0" w:color="auto"/>
              <w:left w:val="single" w:sz="4" w:space="0" w:color="auto"/>
              <w:bottom w:val="single" w:sz="4" w:space="0" w:color="auto"/>
              <w:right w:val="single" w:sz="4" w:space="0" w:color="auto"/>
            </w:tcBorders>
          </w:tcPr>
          <w:p w:rsidR="00A909D5" w:rsidRPr="005D32CC" w:rsidRDefault="00A909D5" w:rsidP="00515D12">
            <w:pPr>
              <w:spacing w:after="0" w:line="240" w:lineRule="auto"/>
              <w:rPr>
                <w:rFonts w:asciiTheme="minorHAnsi" w:hAnsiTheme="minorHAnsi" w:cstheme="minorHAnsi"/>
              </w:rPr>
            </w:pPr>
            <w:r w:rsidRPr="005D32CC">
              <w:rPr>
                <w:rFonts w:asciiTheme="minorHAnsi" w:hAnsiTheme="minorHAnsi" w:cstheme="minorHAnsi"/>
              </w:rPr>
              <w:t>Studenti stiču produbljena znanja o pravu međunarodne prodaje robe i arbitražnog prava. Studenti se osposobljavaju za interdisciplinarni pristup i sagledavanje problema sa aspekta obligacionog, trgovačkog, međunarodnog privatnog i procesnog prava.</w:t>
            </w:r>
          </w:p>
          <w:p w:rsidR="00A909D5" w:rsidRPr="005D32CC" w:rsidRDefault="00A909D5" w:rsidP="00515D12">
            <w:pPr>
              <w:spacing w:after="0" w:line="240" w:lineRule="auto"/>
              <w:rPr>
                <w:rFonts w:asciiTheme="minorHAnsi" w:hAnsiTheme="minorHAnsi" w:cstheme="minorHAnsi"/>
              </w:rPr>
            </w:pPr>
            <w:r w:rsidRPr="005D32CC">
              <w:rPr>
                <w:rFonts w:asciiTheme="minorHAnsi" w:hAnsiTheme="minorHAnsi" w:cstheme="minorHAnsi"/>
              </w:rPr>
              <w:t>Studenti se osposobljavaju za praktični rad na zadatom slučaju.</w:t>
            </w:r>
          </w:p>
          <w:p w:rsidR="00A909D5" w:rsidRDefault="00A909D5" w:rsidP="00515D12">
            <w:pPr>
              <w:spacing w:after="0" w:line="240" w:lineRule="auto"/>
              <w:rPr>
                <w:rFonts w:asciiTheme="minorHAnsi" w:hAnsiTheme="minorHAnsi" w:cstheme="minorHAnsi"/>
              </w:rPr>
            </w:pPr>
            <w:r w:rsidRPr="005D32CC">
              <w:rPr>
                <w:rFonts w:asciiTheme="minorHAnsi" w:hAnsiTheme="minorHAnsi" w:cstheme="minorHAnsi"/>
              </w:rPr>
              <w:t>Studenti trebaju razviti vještine istraživanja pravnih izvora, pravne analize i pravnog pisanja, kao i vještine usmene prezentacije i argumentiranja.</w:t>
            </w:r>
          </w:p>
          <w:p w:rsidR="00A909D5" w:rsidRPr="005D32CC" w:rsidRDefault="00A909D5" w:rsidP="00515D12">
            <w:pPr>
              <w:spacing w:after="0" w:line="240" w:lineRule="auto"/>
              <w:rPr>
                <w:rFonts w:asciiTheme="minorHAnsi" w:hAnsiTheme="minorHAnsi" w:cstheme="minorHAnsi"/>
              </w:rPr>
            </w:pPr>
          </w:p>
          <w:p w:rsidR="00A909D5" w:rsidRPr="001735A7" w:rsidRDefault="00A909D5" w:rsidP="00515D12">
            <w:pPr>
              <w:spacing w:after="0" w:line="240" w:lineRule="auto"/>
              <w:jc w:val="both"/>
              <w:rPr>
                <w:b/>
                <w:lang w:val="hr-BA"/>
              </w:rPr>
            </w:pPr>
            <w:r>
              <w:rPr>
                <w:rFonts w:asciiTheme="minorHAnsi" w:hAnsiTheme="minorHAnsi" w:cstheme="minorHAnsi"/>
              </w:rPr>
              <w:t xml:space="preserve">Predmet ima za cilj pripremu studenata za takmičenje </w:t>
            </w:r>
            <w:r w:rsidRPr="005D32CC">
              <w:rPr>
                <w:rFonts w:asciiTheme="minorHAnsi" w:hAnsiTheme="minorHAnsi" w:cstheme="minorHAnsi"/>
              </w:rPr>
              <w:t>Willem C. Vis. Moot Court</w:t>
            </w:r>
            <w:r>
              <w:rPr>
                <w:rFonts w:asciiTheme="minorHAnsi" w:hAnsiTheme="minorHAnsi" w:cstheme="minorHAnsi"/>
              </w:rPr>
              <w:t>.</w:t>
            </w:r>
            <w:r w:rsidRPr="005D32CC">
              <w:rPr>
                <w:rFonts w:asciiTheme="minorHAnsi" w:hAnsiTheme="minorHAnsi" w:cstheme="minorHAnsi"/>
              </w:rPr>
              <w:t xml:space="preserve"> Najbolji studenti (4 – 6) biće izabrani da budu predstavnici Pravnog fakulteta u Sarajevu na Willem C. Vis Moot Court.</w:t>
            </w:r>
            <w:r>
              <w:rPr>
                <w:rFonts w:ascii="Times New Roman" w:hAnsi="Times New Roman"/>
                <w:sz w:val="24"/>
                <w:szCs w:val="24"/>
              </w:rPr>
              <w:t xml:space="preserve"> </w:t>
            </w:r>
            <w:r w:rsidRPr="00F3290D">
              <w:rPr>
                <w:rFonts w:ascii="Times New Roman" w:hAnsi="Times New Roman"/>
                <w:sz w:val="24"/>
                <w:szCs w:val="24"/>
              </w:rPr>
              <w:t xml:space="preserve">              </w:t>
            </w:r>
          </w:p>
        </w:tc>
      </w:tr>
      <w:tr w:rsidR="00A909D5" w:rsidRPr="001735A7" w:rsidTr="00515D12">
        <w:tc>
          <w:tcPr>
            <w:tcW w:w="2953" w:type="dxa"/>
            <w:tcBorders>
              <w:top w:val="single" w:sz="4" w:space="0" w:color="auto"/>
              <w:left w:val="single" w:sz="4" w:space="0" w:color="auto"/>
              <w:bottom w:val="single" w:sz="4" w:space="0" w:color="auto"/>
              <w:right w:val="single" w:sz="4" w:space="0" w:color="auto"/>
            </w:tcBorders>
            <w:shd w:val="clear" w:color="auto" w:fill="E7E6E6"/>
          </w:tcPr>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Okvirni sadržaj predmeta</w:t>
            </w: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Cs/>
                <w:i/>
                <w:lang w:eastAsia="de-DE"/>
              </w:rPr>
            </w:pPr>
          </w:p>
          <w:p w:rsidR="00A909D5" w:rsidRPr="001735A7" w:rsidRDefault="00A909D5" w:rsidP="00515D12">
            <w:pPr>
              <w:spacing w:after="0" w:line="240" w:lineRule="auto"/>
              <w:rPr>
                <w:rFonts w:eastAsia="SimSun" w:cs="Calibri"/>
                <w:bCs/>
                <w:i/>
                <w:lang w:eastAsia="de-DE"/>
              </w:rPr>
            </w:pPr>
          </w:p>
          <w:p w:rsidR="00A909D5" w:rsidRPr="001735A7" w:rsidRDefault="00A909D5" w:rsidP="00515D12">
            <w:pPr>
              <w:spacing w:after="0" w:line="240" w:lineRule="auto"/>
              <w:rPr>
                <w:rFonts w:eastAsia="SimSun" w:cs="Calibri"/>
                <w:bCs/>
                <w:i/>
                <w:lang w:eastAsia="de-DE"/>
              </w:rPr>
            </w:pPr>
          </w:p>
          <w:p w:rsidR="00A909D5" w:rsidRPr="001735A7" w:rsidRDefault="00A909D5" w:rsidP="00515D12">
            <w:pPr>
              <w:spacing w:after="0" w:line="240" w:lineRule="auto"/>
              <w:rPr>
                <w:rFonts w:eastAsia="SimSun" w:cs="Calibri"/>
                <w:bCs/>
                <w:i/>
                <w:lang w:eastAsia="de-DE"/>
              </w:rPr>
            </w:pPr>
          </w:p>
        </w:tc>
        <w:tc>
          <w:tcPr>
            <w:tcW w:w="6332" w:type="dxa"/>
            <w:gridSpan w:val="7"/>
            <w:tcBorders>
              <w:top w:val="single" w:sz="4" w:space="0" w:color="auto"/>
              <w:left w:val="single" w:sz="4" w:space="0" w:color="auto"/>
              <w:bottom w:val="single" w:sz="4" w:space="0" w:color="auto"/>
              <w:right w:val="single" w:sz="4" w:space="0" w:color="auto"/>
            </w:tcBorders>
          </w:tcPr>
          <w:p w:rsidR="00A909D5" w:rsidRPr="005D32CC" w:rsidRDefault="00A909D5" w:rsidP="00A909D5">
            <w:pPr>
              <w:pStyle w:val="ListParagraph"/>
              <w:numPr>
                <w:ilvl w:val="0"/>
                <w:numId w:val="3"/>
              </w:numPr>
              <w:spacing w:after="160" w:line="259" w:lineRule="auto"/>
              <w:rPr>
                <w:rFonts w:asciiTheme="minorHAnsi" w:hAnsiTheme="minorHAnsi" w:cstheme="minorHAnsi"/>
              </w:rPr>
            </w:pPr>
            <w:r w:rsidRPr="005D32CC">
              <w:rPr>
                <w:rFonts w:asciiTheme="minorHAnsi" w:hAnsiTheme="minorHAnsi" w:cstheme="minorHAnsi"/>
              </w:rPr>
              <w:t>Uvod u pravo međunarodne prodaje robe – CISG (uvod, ciljevi, historijat, predmet reguliranja, primjena)</w:t>
            </w:r>
          </w:p>
          <w:p w:rsidR="00A909D5" w:rsidRPr="005D32CC" w:rsidRDefault="00A909D5" w:rsidP="00A909D5">
            <w:pPr>
              <w:pStyle w:val="ListParagraph"/>
              <w:numPr>
                <w:ilvl w:val="0"/>
                <w:numId w:val="3"/>
              </w:numPr>
              <w:spacing w:after="160" w:line="259" w:lineRule="auto"/>
              <w:rPr>
                <w:rFonts w:asciiTheme="minorHAnsi" w:hAnsiTheme="minorHAnsi" w:cstheme="minorHAnsi"/>
              </w:rPr>
            </w:pPr>
            <w:r w:rsidRPr="005D32CC">
              <w:rPr>
                <w:rFonts w:asciiTheme="minorHAnsi" w:hAnsiTheme="minorHAnsi" w:cstheme="minorHAnsi"/>
              </w:rPr>
              <w:t>Zaključenje ugovora, odgovornost za izvršenje ugovora, bitna povreda ugovora, tumačenje ugovora i ponašanja stranaka, pravni lijekovi prema CISG</w:t>
            </w:r>
          </w:p>
          <w:p w:rsidR="00A909D5" w:rsidRPr="005D32CC" w:rsidRDefault="00A909D5" w:rsidP="00A909D5">
            <w:pPr>
              <w:pStyle w:val="ListParagraph"/>
              <w:numPr>
                <w:ilvl w:val="0"/>
                <w:numId w:val="3"/>
              </w:numPr>
              <w:spacing w:after="160" w:line="259" w:lineRule="auto"/>
              <w:rPr>
                <w:rFonts w:asciiTheme="minorHAnsi" w:hAnsiTheme="minorHAnsi" w:cstheme="minorHAnsi"/>
              </w:rPr>
            </w:pPr>
            <w:r w:rsidRPr="005D32CC">
              <w:rPr>
                <w:rFonts w:asciiTheme="minorHAnsi" w:hAnsiTheme="minorHAnsi" w:cstheme="minorHAnsi"/>
              </w:rPr>
              <w:t xml:space="preserve">Uvod u Alternative Dispute Resolution (ADR) i arbitražno rješavanje sporova (arbitražni sporazum, arbitražni sud, arbitražna odluka), </w:t>
            </w:r>
          </w:p>
          <w:p w:rsidR="00A909D5" w:rsidRPr="005D32CC" w:rsidRDefault="00A909D5" w:rsidP="00A909D5">
            <w:pPr>
              <w:pStyle w:val="ListParagraph"/>
              <w:numPr>
                <w:ilvl w:val="0"/>
                <w:numId w:val="3"/>
              </w:numPr>
              <w:spacing w:after="160" w:line="259" w:lineRule="auto"/>
              <w:rPr>
                <w:rFonts w:asciiTheme="minorHAnsi" w:hAnsiTheme="minorHAnsi" w:cstheme="minorHAnsi"/>
              </w:rPr>
            </w:pPr>
            <w:r w:rsidRPr="005D32CC">
              <w:rPr>
                <w:rFonts w:asciiTheme="minorHAnsi" w:hAnsiTheme="minorHAnsi" w:cstheme="minorHAnsi"/>
              </w:rPr>
              <w:t>Uvod u međunarodno arbitražno pravo – mjerodavno pravo za međunarodne trgovačke sporove, priznanje i izvršenje stranih arbitražnih odluka, sudska kontrola arbitražnih odluka</w:t>
            </w:r>
          </w:p>
          <w:p w:rsidR="00A909D5" w:rsidRPr="005D32CC" w:rsidRDefault="00A909D5" w:rsidP="00A909D5">
            <w:pPr>
              <w:pStyle w:val="ListParagraph"/>
              <w:numPr>
                <w:ilvl w:val="0"/>
                <w:numId w:val="3"/>
              </w:numPr>
              <w:spacing w:after="160" w:line="259" w:lineRule="auto"/>
              <w:rPr>
                <w:rFonts w:asciiTheme="minorHAnsi" w:hAnsiTheme="minorHAnsi" w:cstheme="minorHAnsi"/>
              </w:rPr>
            </w:pPr>
            <w:r w:rsidRPr="005D32CC">
              <w:rPr>
                <w:rFonts w:asciiTheme="minorHAnsi" w:hAnsiTheme="minorHAnsi" w:cstheme="minorHAnsi"/>
              </w:rPr>
              <w:t>Metodologij</w:t>
            </w:r>
            <w:r>
              <w:rPr>
                <w:rFonts w:asciiTheme="minorHAnsi" w:hAnsiTheme="minorHAnsi" w:cstheme="minorHAnsi"/>
              </w:rPr>
              <w:t>a</w:t>
            </w:r>
            <w:r w:rsidRPr="005D32CC">
              <w:rPr>
                <w:rFonts w:asciiTheme="minorHAnsi" w:hAnsiTheme="minorHAnsi" w:cstheme="minorHAnsi"/>
              </w:rPr>
              <w:t xml:space="preserve"> istraživanja i analiz</w:t>
            </w:r>
            <w:r>
              <w:rPr>
                <w:rFonts w:asciiTheme="minorHAnsi" w:hAnsiTheme="minorHAnsi" w:cstheme="minorHAnsi"/>
              </w:rPr>
              <w:t>a</w:t>
            </w:r>
            <w:r w:rsidRPr="005D32CC">
              <w:rPr>
                <w:rFonts w:asciiTheme="minorHAnsi" w:hAnsiTheme="minorHAnsi" w:cstheme="minorHAnsi"/>
              </w:rPr>
              <w:t xml:space="preserve"> slučaja (kako r</w:t>
            </w:r>
            <w:r>
              <w:rPr>
                <w:rFonts w:asciiTheme="minorHAnsi" w:hAnsiTheme="minorHAnsi" w:cstheme="minorHAnsi"/>
              </w:rPr>
              <w:t>i</w:t>
            </w:r>
            <w:r w:rsidRPr="005D32CC">
              <w:rPr>
                <w:rFonts w:asciiTheme="minorHAnsi" w:hAnsiTheme="minorHAnsi" w:cstheme="minorHAnsi"/>
              </w:rPr>
              <w:t>ješiti Moot slučaj) - studenti analiziraju zadati slučaj, istražuju relevantne propise i praksu u vezi sa zadatim slučajem za Vis moot u datoj i prethodnim akademskim godinama</w:t>
            </w:r>
          </w:p>
          <w:p w:rsidR="00A909D5" w:rsidRPr="005D32CC" w:rsidRDefault="00A909D5" w:rsidP="00A909D5">
            <w:pPr>
              <w:pStyle w:val="ListParagraph"/>
              <w:numPr>
                <w:ilvl w:val="0"/>
                <w:numId w:val="3"/>
              </w:numPr>
              <w:spacing w:after="160" w:line="259" w:lineRule="auto"/>
              <w:rPr>
                <w:rFonts w:asciiTheme="minorHAnsi" w:hAnsiTheme="minorHAnsi" w:cstheme="minorHAnsi"/>
              </w:rPr>
            </w:pPr>
            <w:r w:rsidRPr="005D32CC">
              <w:rPr>
                <w:rFonts w:asciiTheme="minorHAnsi" w:hAnsiTheme="minorHAnsi" w:cstheme="minorHAnsi"/>
              </w:rPr>
              <w:lastRenderedPageBreak/>
              <w:t>U cilju ostvarivanja ciljeva i rezultata učenja studenti će osim sa nastavnicima Fakulteta intenzivno raditi sa istaknutim stručnjacima iz prakse iz predmetnih oblasti kako iz zemlje tako i iz inostranstva</w:t>
            </w:r>
          </w:p>
          <w:p w:rsidR="00A909D5" w:rsidRPr="005D32CC" w:rsidRDefault="00A909D5" w:rsidP="00A909D5">
            <w:pPr>
              <w:pStyle w:val="ListParagraph"/>
              <w:numPr>
                <w:ilvl w:val="0"/>
                <w:numId w:val="3"/>
              </w:numPr>
              <w:spacing w:after="0" w:line="240" w:lineRule="auto"/>
              <w:jc w:val="both"/>
              <w:rPr>
                <w:b/>
                <w:lang w:val="hr-BA"/>
              </w:rPr>
            </w:pPr>
            <w:r w:rsidRPr="005D32CC">
              <w:rPr>
                <w:rFonts w:asciiTheme="minorHAnsi" w:hAnsiTheme="minorHAnsi" w:cstheme="minorHAnsi"/>
              </w:rPr>
              <w:t>Uz podršku CLDP – Commercial Law Develpoment program težiće se saradnji sa univerzitetima iz SAD i intenzivnoj saradnji sa stručnjacima iz predmetnih oblasti koji će preuzimati i ulogu mentora studentima</w:t>
            </w:r>
          </w:p>
        </w:tc>
      </w:tr>
      <w:tr w:rsidR="00A909D5" w:rsidRPr="001735A7" w:rsidTr="00515D12">
        <w:trPr>
          <w:trHeight w:val="378"/>
        </w:trPr>
        <w:tc>
          <w:tcPr>
            <w:tcW w:w="2953" w:type="dxa"/>
            <w:tcBorders>
              <w:top w:val="single" w:sz="4" w:space="0" w:color="auto"/>
              <w:left w:val="single" w:sz="4" w:space="0" w:color="auto"/>
              <w:bottom w:val="single" w:sz="4" w:space="0" w:color="auto"/>
              <w:right w:val="single" w:sz="4" w:space="0" w:color="auto"/>
            </w:tcBorders>
            <w:shd w:val="clear" w:color="auto" w:fill="E7E6E6"/>
            <w:hideMark/>
          </w:tcPr>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lastRenderedPageBreak/>
              <w:t>Način izvođenja nastave</w:t>
            </w:r>
          </w:p>
        </w:tc>
        <w:tc>
          <w:tcPr>
            <w:tcW w:w="6332" w:type="dxa"/>
            <w:gridSpan w:val="7"/>
            <w:tcBorders>
              <w:top w:val="single" w:sz="4" w:space="0" w:color="auto"/>
              <w:left w:val="single" w:sz="4" w:space="0" w:color="auto"/>
              <w:bottom w:val="single" w:sz="4" w:space="0" w:color="auto"/>
              <w:right w:val="single" w:sz="4" w:space="0" w:color="auto"/>
            </w:tcBorders>
            <w:hideMark/>
          </w:tcPr>
          <w:p w:rsidR="00A909D5" w:rsidRPr="001735A7" w:rsidRDefault="00A909D5" w:rsidP="00515D12">
            <w:pPr>
              <w:spacing w:after="0" w:line="240" w:lineRule="auto"/>
              <w:jc w:val="both"/>
              <w:rPr>
                <w:rFonts w:eastAsia="SimSun" w:cs="Calibri"/>
                <w:lang w:eastAsia="de-DE"/>
              </w:rPr>
            </w:pPr>
            <w:r w:rsidRPr="001735A7">
              <w:rPr>
                <w:rFonts w:eastAsia="SimSun" w:cs="Calibri"/>
                <w:lang w:eastAsia="de-DE"/>
              </w:rPr>
              <w:t>Predavanja, studentska praksa, konsultacije</w:t>
            </w:r>
          </w:p>
        </w:tc>
      </w:tr>
      <w:tr w:rsidR="00A909D5" w:rsidRPr="001735A7" w:rsidTr="00515D12">
        <w:trPr>
          <w:trHeight w:val="3368"/>
        </w:trPr>
        <w:tc>
          <w:tcPr>
            <w:tcW w:w="2953" w:type="dxa"/>
            <w:tcBorders>
              <w:top w:val="single" w:sz="4" w:space="0" w:color="auto"/>
              <w:left w:val="single" w:sz="4" w:space="0" w:color="auto"/>
              <w:bottom w:val="single" w:sz="4" w:space="0" w:color="auto"/>
              <w:right w:val="single" w:sz="4" w:space="0" w:color="auto"/>
            </w:tcBorders>
            <w:shd w:val="clear" w:color="auto" w:fill="E7E6E6"/>
          </w:tcPr>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Način vrednovanja znanja sa strukturom ocjene</w:t>
            </w: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tc>
        <w:tc>
          <w:tcPr>
            <w:tcW w:w="6332" w:type="dxa"/>
            <w:gridSpan w:val="7"/>
            <w:tcBorders>
              <w:top w:val="single" w:sz="4" w:space="0" w:color="auto"/>
              <w:left w:val="single" w:sz="4" w:space="0" w:color="auto"/>
              <w:bottom w:val="single" w:sz="4" w:space="0" w:color="auto"/>
              <w:right w:val="single" w:sz="4" w:space="0" w:color="auto"/>
            </w:tcBorders>
          </w:tcPr>
          <w:p w:rsidR="00A909D5" w:rsidRPr="001735A7" w:rsidRDefault="00A909D5" w:rsidP="00515D12">
            <w:pPr>
              <w:spacing w:after="0" w:line="240" w:lineRule="auto"/>
              <w:jc w:val="both"/>
              <w:rPr>
                <w:rFonts w:eastAsia="SimSun" w:cs="Calibri"/>
                <w:i/>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1559"/>
              <w:gridCol w:w="1971"/>
            </w:tblGrid>
            <w:tr w:rsidR="00A909D5" w:rsidRPr="001735A7" w:rsidTr="00515D12">
              <w:tc>
                <w:tcPr>
                  <w:tcW w:w="2571" w:type="dxa"/>
                  <w:shd w:val="clear" w:color="auto" w:fill="auto"/>
                </w:tcPr>
                <w:p w:rsidR="00A909D5" w:rsidRPr="005D32CC" w:rsidRDefault="00A909D5" w:rsidP="00515D12">
                  <w:pPr>
                    <w:spacing w:after="0" w:line="240" w:lineRule="auto"/>
                    <w:jc w:val="both"/>
                    <w:rPr>
                      <w:rFonts w:eastAsia="SimSun" w:cs="Calibri"/>
                      <w:sz w:val="20"/>
                      <w:szCs w:val="20"/>
                      <w:lang w:eastAsia="de-DE"/>
                    </w:rPr>
                  </w:pPr>
                  <w:r w:rsidRPr="005D32CC">
                    <w:rPr>
                      <w:rFonts w:eastAsia="SimSun" w:cs="Calibri"/>
                      <w:sz w:val="20"/>
                      <w:szCs w:val="20"/>
                      <w:lang w:eastAsia="de-DE"/>
                    </w:rPr>
                    <w:t>Elementi praćenja i provjere znanja</w:t>
                  </w:r>
                </w:p>
              </w:tc>
              <w:tc>
                <w:tcPr>
                  <w:tcW w:w="1559"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ECTS</w:t>
                  </w:r>
                </w:p>
              </w:tc>
              <w:tc>
                <w:tcPr>
                  <w:tcW w:w="1971"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Procentualni udio u ocjeni</w:t>
                  </w:r>
                </w:p>
              </w:tc>
            </w:tr>
            <w:tr w:rsidR="00A909D5" w:rsidRPr="001735A7" w:rsidTr="00515D12">
              <w:tc>
                <w:tcPr>
                  <w:tcW w:w="2571" w:type="dxa"/>
                  <w:shd w:val="clear" w:color="auto" w:fill="auto"/>
                </w:tcPr>
                <w:p w:rsidR="00A909D5" w:rsidRPr="005D32CC" w:rsidRDefault="00A909D5" w:rsidP="00515D12">
                  <w:pPr>
                    <w:spacing w:after="0" w:line="240" w:lineRule="auto"/>
                    <w:jc w:val="both"/>
                    <w:rPr>
                      <w:rFonts w:eastAsia="SimSun" w:cs="Calibri"/>
                      <w:sz w:val="20"/>
                      <w:szCs w:val="20"/>
                      <w:lang w:eastAsia="de-DE"/>
                    </w:rPr>
                  </w:pPr>
                  <w:r w:rsidRPr="005D32CC">
                    <w:rPr>
                      <w:rFonts w:eastAsia="SimSun" w:cs="Calibri"/>
                      <w:sz w:val="20"/>
                      <w:szCs w:val="20"/>
                      <w:lang w:eastAsia="de-DE"/>
                    </w:rPr>
                    <w:t>1) Aktivnost u nastavi i seminarski rad</w:t>
                  </w:r>
                </w:p>
              </w:tc>
              <w:tc>
                <w:tcPr>
                  <w:tcW w:w="1559"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1,5</w:t>
                  </w:r>
                </w:p>
              </w:tc>
              <w:tc>
                <w:tcPr>
                  <w:tcW w:w="1971"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50% (50 bodova)</w:t>
                  </w:r>
                </w:p>
              </w:tc>
            </w:tr>
            <w:tr w:rsidR="00A909D5" w:rsidRPr="001735A7" w:rsidTr="00515D12">
              <w:tc>
                <w:tcPr>
                  <w:tcW w:w="2571" w:type="dxa"/>
                  <w:shd w:val="clear" w:color="auto" w:fill="auto"/>
                </w:tcPr>
                <w:p w:rsidR="00A909D5" w:rsidRPr="005D32CC" w:rsidRDefault="00A909D5" w:rsidP="00515D12">
                  <w:pPr>
                    <w:spacing w:after="0" w:line="240" w:lineRule="auto"/>
                    <w:jc w:val="both"/>
                    <w:rPr>
                      <w:rFonts w:eastAsia="SimSun" w:cs="Calibri"/>
                      <w:sz w:val="20"/>
                      <w:szCs w:val="20"/>
                      <w:lang w:eastAsia="de-DE"/>
                    </w:rPr>
                  </w:pPr>
                  <w:r w:rsidRPr="005D32CC">
                    <w:rPr>
                      <w:rFonts w:eastAsia="SimSun" w:cs="Calibri"/>
                      <w:sz w:val="20"/>
                      <w:szCs w:val="20"/>
                      <w:lang w:eastAsia="de-DE"/>
                    </w:rPr>
                    <w:t>2) Studentska praksa</w:t>
                  </w:r>
                </w:p>
              </w:tc>
              <w:tc>
                <w:tcPr>
                  <w:tcW w:w="1559"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1</w:t>
                  </w:r>
                </w:p>
              </w:tc>
              <w:tc>
                <w:tcPr>
                  <w:tcW w:w="1971"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33,33% (33,33 bodova)</w:t>
                  </w:r>
                </w:p>
              </w:tc>
            </w:tr>
            <w:tr w:rsidR="00A909D5" w:rsidRPr="001735A7" w:rsidTr="00515D12">
              <w:tc>
                <w:tcPr>
                  <w:tcW w:w="2571" w:type="dxa"/>
                  <w:shd w:val="clear" w:color="auto" w:fill="auto"/>
                </w:tcPr>
                <w:p w:rsidR="00A909D5" w:rsidRPr="005D32CC" w:rsidRDefault="00A909D5" w:rsidP="00515D12">
                  <w:pPr>
                    <w:spacing w:after="0" w:line="240" w:lineRule="auto"/>
                    <w:jc w:val="both"/>
                    <w:rPr>
                      <w:rFonts w:eastAsia="SimSun" w:cs="Calibri"/>
                      <w:sz w:val="20"/>
                      <w:szCs w:val="20"/>
                      <w:lang w:eastAsia="de-DE"/>
                    </w:rPr>
                  </w:pPr>
                  <w:r w:rsidRPr="005D32CC">
                    <w:rPr>
                      <w:rFonts w:eastAsia="SimSun" w:cs="Calibri"/>
                      <w:sz w:val="20"/>
                      <w:szCs w:val="20"/>
                      <w:lang w:eastAsia="de-DE"/>
                    </w:rPr>
                    <w:t xml:space="preserve">3) Završni ispit </w:t>
                  </w:r>
                </w:p>
              </w:tc>
              <w:tc>
                <w:tcPr>
                  <w:tcW w:w="1559"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0,5</w:t>
                  </w:r>
                </w:p>
              </w:tc>
              <w:tc>
                <w:tcPr>
                  <w:tcW w:w="1971"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16,67% (16,67 bodova)</w:t>
                  </w:r>
                </w:p>
              </w:tc>
            </w:tr>
            <w:tr w:rsidR="00A909D5" w:rsidRPr="001735A7" w:rsidTr="00515D12">
              <w:tc>
                <w:tcPr>
                  <w:tcW w:w="2571" w:type="dxa"/>
                  <w:shd w:val="clear" w:color="auto" w:fill="auto"/>
                </w:tcPr>
                <w:p w:rsidR="00A909D5" w:rsidRPr="005D32CC" w:rsidRDefault="00A909D5" w:rsidP="00515D12">
                  <w:pPr>
                    <w:spacing w:after="0" w:line="240" w:lineRule="auto"/>
                    <w:jc w:val="both"/>
                    <w:rPr>
                      <w:rFonts w:eastAsia="SimSun" w:cs="Calibri"/>
                      <w:sz w:val="20"/>
                      <w:szCs w:val="20"/>
                      <w:lang w:eastAsia="de-DE"/>
                    </w:rPr>
                  </w:pPr>
                  <w:r w:rsidRPr="005D32CC">
                    <w:rPr>
                      <w:rFonts w:eastAsia="SimSun" w:cs="Calibri"/>
                      <w:sz w:val="20"/>
                      <w:szCs w:val="20"/>
                      <w:lang w:eastAsia="de-DE"/>
                    </w:rPr>
                    <w:t xml:space="preserve"> Ukupno:</w:t>
                  </w:r>
                </w:p>
              </w:tc>
              <w:tc>
                <w:tcPr>
                  <w:tcW w:w="1559"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3</w:t>
                  </w:r>
                </w:p>
              </w:tc>
              <w:tc>
                <w:tcPr>
                  <w:tcW w:w="1971" w:type="dxa"/>
                  <w:shd w:val="clear" w:color="auto" w:fill="auto"/>
                </w:tcPr>
                <w:p w:rsidR="00A909D5" w:rsidRPr="005D32CC" w:rsidRDefault="00A909D5" w:rsidP="00515D12">
                  <w:pPr>
                    <w:spacing w:after="0" w:line="240" w:lineRule="auto"/>
                    <w:jc w:val="center"/>
                    <w:rPr>
                      <w:rFonts w:eastAsia="SimSun" w:cs="Calibri"/>
                      <w:sz w:val="20"/>
                      <w:szCs w:val="20"/>
                      <w:lang w:eastAsia="de-DE"/>
                    </w:rPr>
                  </w:pPr>
                  <w:r w:rsidRPr="005D32CC">
                    <w:rPr>
                      <w:rFonts w:eastAsia="SimSun" w:cs="Calibri"/>
                      <w:sz w:val="20"/>
                      <w:szCs w:val="20"/>
                      <w:lang w:eastAsia="de-DE"/>
                    </w:rPr>
                    <w:t>100% (100 bodova)</w:t>
                  </w:r>
                </w:p>
              </w:tc>
            </w:tr>
          </w:tbl>
          <w:p w:rsidR="00A909D5" w:rsidRPr="001735A7" w:rsidRDefault="00A909D5" w:rsidP="00515D12">
            <w:pPr>
              <w:spacing w:after="0" w:line="240" w:lineRule="auto"/>
              <w:jc w:val="both"/>
              <w:rPr>
                <w:rFonts w:eastAsia="SimSun" w:cs="Calibri"/>
                <w:sz w:val="16"/>
                <w:szCs w:val="16"/>
                <w:lang w:eastAsia="de-DE"/>
              </w:rPr>
            </w:pPr>
          </w:p>
          <w:p w:rsidR="00A909D5" w:rsidRPr="001735A7" w:rsidRDefault="00A909D5" w:rsidP="00515D12">
            <w:pPr>
              <w:spacing w:after="0" w:line="240" w:lineRule="auto"/>
              <w:jc w:val="both"/>
              <w:rPr>
                <w:rFonts w:eastAsia="SimSun" w:cs="Calibri"/>
                <w:lang w:eastAsia="de-DE"/>
              </w:rPr>
            </w:pPr>
          </w:p>
          <w:p w:rsidR="00A909D5" w:rsidRPr="001735A7" w:rsidRDefault="00A909D5" w:rsidP="00515D12">
            <w:pPr>
              <w:spacing w:line="240" w:lineRule="auto"/>
              <w:jc w:val="both"/>
              <w:rPr>
                <w:rFonts w:cs="Calibri"/>
              </w:rPr>
            </w:pPr>
            <w:r w:rsidRPr="001735A7">
              <w:rPr>
                <w:rFonts w:cs="Calibri"/>
                <w:b/>
              </w:rPr>
              <w:t>Prva provjera znanja</w:t>
            </w:r>
            <w:r w:rsidRPr="001735A7">
              <w:rPr>
                <w:rFonts w:cs="Calibri"/>
              </w:rPr>
              <w:t xml:space="preserve"> </w:t>
            </w:r>
            <w:r>
              <w:rPr>
                <w:rFonts w:cs="Calibri"/>
              </w:rPr>
              <w:t>istraživački</w:t>
            </w:r>
            <w:r w:rsidRPr="001735A7">
              <w:rPr>
                <w:rFonts w:cs="Calibri"/>
              </w:rPr>
              <w:t xml:space="preserve"> rad </w:t>
            </w:r>
            <w:r>
              <w:rPr>
                <w:rFonts w:cs="Calibri"/>
              </w:rPr>
              <w:t xml:space="preserve">studenta </w:t>
            </w:r>
            <w:r w:rsidRPr="001735A7">
              <w:rPr>
                <w:rFonts w:cs="Calibri"/>
              </w:rPr>
              <w:t xml:space="preserve">u kojem student rješava praktični zadatak iz predmetne oblasti tako što vrši analizu činjeničnog stanja, analizu relevantnih propisa i predlaže rješenje. </w:t>
            </w:r>
            <w:r>
              <w:rPr>
                <w:rFonts w:cs="Calibri"/>
              </w:rPr>
              <w:t>Student seminarski rad brani u toku nastave</w:t>
            </w:r>
            <w:r w:rsidRPr="001735A7">
              <w:rPr>
                <w:rFonts w:cs="Calibri"/>
              </w:rPr>
              <w:t>.</w:t>
            </w:r>
          </w:p>
          <w:p w:rsidR="00A909D5" w:rsidRPr="001735A7" w:rsidRDefault="00A909D5" w:rsidP="00515D12">
            <w:pPr>
              <w:spacing w:line="240" w:lineRule="auto"/>
              <w:jc w:val="both"/>
              <w:rPr>
                <w:rFonts w:cs="Calibri"/>
                <w:lang w:val="hr-BA"/>
              </w:rPr>
            </w:pPr>
            <w:r w:rsidRPr="001735A7">
              <w:rPr>
                <w:rFonts w:cs="Calibri"/>
                <w:b/>
              </w:rPr>
              <w:t>Aktivnost u nastavi</w:t>
            </w:r>
            <w:r w:rsidRPr="001735A7">
              <w:rPr>
                <w:rFonts w:cs="Calibri"/>
              </w:rPr>
              <w:t xml:space="preserve">: </w:t>
            </w:r>
            <w:r w:rsidRPr="001735A7">
              <w:rPr>
                <w:rFonts w:cs="Calibri"/>
                <w:lang w:val="hr-BA"/>
              </w:rPr>
              <w:t>Redovni studenti su obavezni pohađati predavanja i studentsku prasku. Znanje studenata kontinuirano se prati tokom semestra. Nastava se izvodi potpuno interaktivno i evidentira se aktivnost studenata.</w:t>
            </w:r>
          </w:p>
          <w:p w:rsidR="00A909D5" w:rsidRPr="001735A7" w:rsidRDefault="00A909D5" w:rsidP="00515D12">
            <w:pPr>
              <w:spacing w:line="240" w:lineRule="auto"/>
              <w:jc w:val="both"/>
              <w:rPr>
                <w:rFonts w:cs="Calibri"/>
              </w:rPr>
            </w:pPr>
            <w:r w:rsidRPr="001735A7">
              <w:rPr>
                <w:rFonts w:cs="Calibri"/>
                <w:b/>
                <w:lang w:val="hr-BA"/>
              </w:rPr>
              <w:t xml:space="preserve">Studentska praksa </w:t>
            </w:r>
            <w:r w:rsidRPr="001735A7">
              <w:rPr>
                <w:rFonts w:cs="Calibri"/>
                <w:lang w:val="hr-BA"/>
              </w:rPr>
              <w:t xml:space="preserve">je praktična nastava koja se realizira sa ciljem pripreme studenata za </w:t>
            </w:r>
            <w:r w:rsidRPr="005D32CC">
              <w:rPr>
                <w:rFonts w:asciiTheme="minorHAnsi" w:hAnsiTheme="minorHAnsi" w:cstheme="minorHAnsi"/>
              </w:rPr>
              <w:t>Willem C. Vis Moot Court</w:t>
            </w:r>
            <w:r w:rsidRPr="001735A7">
              <w:rPr>
                <w:rFonts w:cs="Calibri"/>
                <w:lang w:val="hr-BA"/>
              </w:rPr>
              <w:t xml:space="preserve"> </w:t>
            </w:r>
            <w:r>
              <w:rPr>
                <w:rFonts w:cs="Calibri"/>
                <w:lang w:val="hr-BA"/>
              </w:rPr>
              <w:t>takmičenje odnosno za stjecanje osnovnih znanja o arbitražnom rješavanju sporova i CISG-u.</w:t>
            </w:r>
          </w:p>
          <w:p w:rsidR="00A909D5" w:rsidRPr="001735A7" w:rsidRDefault="00A909D5" w:rsidP="00515D12">
            <w:pPr>
              <w:spacing w:line="240" w:lineRule="auto"/>
              <w:jc w:val="both"/>
              <w:rPr>
                <w:rFonts w:cs="Calibri"/>
              </w:rPr>
            </w:pPr>
            <w:r w:rsidRPr="001735A7">
              <w:rPr>
                <w:rFonts w:cs="Calibri"/>
                <w:b/>
              </w:rPr>
              <w:t>Završni ispit</w:t>
            </w:r>
            <w:r w:rsidRPr="001735A7">
              <w:rPr>
                <w:rFonts w:cs="Calibri"/>
              </w:rPr>
              <w:t xml:space="preserve"> se polaže u redovnom i popravnom junsko-julskom roku i septembarskom roku.</w:t>
            </w:r>
            <w:r>
              <w:rPr>
                <w:rFonts w:cs="Calibri"/>
              </w:rPr>
              <w:t xml:space="preserve"> Studenti koji su imali izuzetnu aktivnost u nastavi mogu biti oslobođeni polaganja završnog ispita.</w:t>
            </w:r>
            <w:r w:rsidRPr="001735A7">
              <w:rPr>
                <w:rFonts w:cs="Calibri"/>
              </w:rPr>
              <w:t xml:space="preserve"> Konačan uspjeh studenta izračunava se sabiranjem bodova postignutih u svim segmentima ocjenjivanja. Ocjena se formira prema sljedećoj skali: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7394"/>
            </w:tblGrid>
            <w:tr w:rsidR="00A909D5" w:rsidRPr="001735A7" w:rsidTr="00515D12">
              <w:tc>
                <w:tcPr>
                  <w:tcW w:w="1442" w:type="dxa"/>
                  <w:shd w:val="clear" w:color="auto" w:fill="auto"/>
                </w:tcPr>
                <w:p w:rsidR="00A909D5" w:rsidRPr="001735A7" w:rsidRDefault="00A909D5" w:rsidP="00515D12">
                  <w:pPr>
                    <w:spacing w:after="0" w:line="240" w:lineRule="auto"/>
                    <w:jc w:val="both"/>
                    <w:rPr>
                      <w:rFonts w:cs="Calibri"/>
                      <w:sz w:val="20"/>
                      <w:szCs w:val="20"/>
                    </w:rPr>
                  </w:pPr>
                  <w:r w:rsidRPr="001735A7">
                    <w:rPr>
                      <w:rFonts w:cs="Calibri"/>
                      <w:sz w:val="20"/>
                      <w:szCs w:val="20"/>
                    </w:rPr>
                    <w:t>Ocjena</w:t>
                  </w:r>
                </w:p>
              </w:tc>
              <w:tc>
                <w:tcPr>
                  <w:tcW w:w="7394" w:type="dxa"/>
                  <w:shd w:val="clear" w:color="auto" w:fill="auto"/>
                </w:tcPr>
                <w:p w:rsidR="00A909D5" w:rsidRPr="001735A7" w:rsidRDefault="00A909D5" w:rsidP="00515D12">
                  <w:pPr>
                    <w:spacing w:after="0" w:line="240" w:lineRule="auto"/>
                    <w:jc w:val="both"/>
                    <w:rPr>
                      <w:rFonts w:cs="Calibri"/>
                      <w:sz w:val="20"/>
                      <w:szCs w:val="20"/>
                    </w:rPr>
                  </w:pPr>
                  <w:r w:rsidRPr="001735A7">
                    <w:rPr>
                      <w:rFonts w:cs="Calibri"/>
                      <w:sz w:val="20"/>
                      <w:szCs w:val="20"/>
                    </w:rPr>
                    <w:t>Bodovi</w:t>
                  </w:r>
                </w:p>
              </w:tc>
            </w:tr>
            <w:tr w:rsidR="00A909D5" w:rsidRPr="001735A7" w:rsidTr="00515D12">
              <w:tc>
                <w:tcPr>
                  <w:tcW w:w="1442" w:type="dxa"/>
                  <w:shd w:val="clear" w:color="auto" w:fill="auto"/>
                </w:tcPr>
                <w:p w:rsidR="00A909D5" w:rsidRPr="001735A7" w:rsidRDefault="00A909D5" w:rsidP="00515D12">
                  <w:pPr>
                    <w:spacing w:after="0" w:line="240" w:lineRule="auto"/>
                    <w:jc w:val="center"/>
                    <w:rPr>
                      <w:rFonts w:cs="Calibri"/>
                      <w:sz w:val="20"/>
                      <w:szCs w:val="20"/>
                    </w:rPr>
                  </w:pPr>
                  <w:r w:rsidRPr="001735A7">
                    <w:rPr>
                      <w:rFonts w:cs="Calibri"/>
                      <w:sz w:val="20"/>
                      <w:szCs w:val="20"/>
                    </w:rPr>
                    <w:t>10 (A)</w:t>
                  </w:r>
                </w:p>
              </w:tc>
              <w:tc>
                <w:tcPr>
                  <w:tcW w:w="7394" w:type="dxa"/>
                  <w:shd w:val="clear" w:color="auto" w:fill="auto"/>
                </w:tcPr>
                <w:p w:rsidR="00A909D5" w:rsidRPr="001735A7" w:rsidRDefault="00A909D5" w:rsidP="00515D12">
                  <w:pPr>
                    <w:spacing w:after="0" w:line="240" w:lineRule="auto"/>
                    <w:jc w:val="both"/>
                    <w:rPr>
                      <w:rFonts w:cs="Calibri"/>
                      <w:sz w:val="20"/>
                      <w:szCs w:val="20"/>
                    </w:rPr>
                  </w:pPr>
                  <w:r w:rsidRPr="001735A7">
                    <w:rPr>
                      <w:rFonts w:cs="Calibri"/>
                      <w:sz w:val="20"/>
                      <w:szCs w:val="20"/>
                    </w:rPr>
                    <w:t>95 – 100 (izuzetan uspjeh bez grešaka ili sa neznatnim greškama)</w:t>
                  </w:r>
                </w:p>
              </w:tc>
            </w:tr>
            <w:tr w:rsidR="00A909D5" w:rsidRPr="001735A7" w:rsidTr="00515D12">
              <w:tc>
                <w:tcPr>
                  <w:tcW w:w="1442" w:type="dxa"/>
                  <w:shd w:val="clear" w:color="auto" w:fill="auto"/>
                </w:tcPr>
                <w:p w:rsidR="00A909D5" w:rsidRPr="001735A7" w:rsidRDefault="00A909D5" w:rsidP="00515D12">
                  <w:pPr>
                    <w:spacing w:after="0" w:line="240" w:lineRule="auto"/>
                    <w:jc w:val="center"/>
                    <w:rPr>
                      <w:rFonts w:cs="Calibri"/>
                      <w:sz w:val="20"/>
                      <w:szCs w:val="20"/>
                    </w:rPr>
                  </w:pPr>
                  <w:r w:rsidRPr="001735A7">
                    <w:rPr>
                      <w:rFonts w:cs="Calibri"/>
                      <w:sz w:val="20"/>
                      <w:szCs w:val="20"/>
                    </w:rPr>
                    <w:t>9 (B)</w:t>
                  </w:r>
                </w:p>
              </w:tc>
              <w:tc>
                <w:tcPr>
                  <w:tcW w:w="7394" w:type="dxa"/>
                  <w:shd w:val="clear" w:color="auto" w:fill="auto"/>
                </w:tcPr>
                <w:p w:rsidR="00A909D5" w:rsidRPr="001735A7" w:rsidRDefault="00A909D5" w:rsidP="00515D12">
                  <w:pPr>
                    <w:spacing w:after="0" w:line="240" w:lineRule="auto"/>
                    <w:jc w:val="both"/>
                    <w:rPr>
                      <w:rFonts w:cs="Calibri"/>
                      <w:sz w:val="20"/>
                      <w:szCs w:val="20"/>
                    </w:rPr>
                  </w:pPr>
                  <w:r w:rsidRPr="001735A7">
                    <w:rPr>
                      <w:rFonts w:cs="Calibri"/>
                      <w:sz w:val="20"/>
                      <w:szCs w:val="20"/>
                    </w:rPr>
                    <w:t>85 – 94 (iznad prosjeka sa ponekom greškom)</w:t>
                  </w:r>
                </w:p>
              </w:tc>
            </w:tr>
            <w:tr w:rsidR="00A909D5" w:rsidRPr="001735A7" w:rsidTr="00515D12">
              <w:tc>
                <w:tcPr>
                  <w:tcW w:w="1442" w:type="dxa"/>
                  <w:shd w:val="clear" w:color="auto" w:fill="auto"/>
                </w:tcPr>
                <w:p w:rsidR="00A909D5" w:rsidRPr="001735A7" w:rsidRDefault="00A909D5" w:rsidP="00515D12">
                  <w:pPr>
                    <w:spacing w:after="0" w:line="240" w:lineRule="auto"/>
                    <w:jc w:val="center"/>
                    <w:rPr>
                      <w:rFonts w:cs="Calibri"/>
                      <w:sz w:val="20"/>
                      <w:szCs w:val="20"/>
                    </w:rPr>
                  </w:pPr>
                  <w:r w:rsidRPr="001735A7">
                    <w:rPr>
                      <w:rFonts w:cs="Calibri"/>
                      <w:sz w:val="20"/>
                      <w:szCs w:val="20"/>
                    </w:rPr>
                    <w:t>8 (C)</w:t>
                  </w:r>
                </w:p>
              </w:tc>
              <w:tc>
                <w:tcPr>
                  <w:tcW w:w="7394" w:type="dxa"/>
                  <w:shd w:val="clear" w:color="auto" w:fill="auto"/>
                </w:tcPr>
                <w:p w:rsidR="00A909D5" w:rsidRPr="001735A7" w:rsidRDefault="00A909D5" w:rsidP="00515D12">
                  <w:pPr>
                    <w:spacing w:after="0" w:line="240" w:lineRule="auto"/>
                    <w:jc w:val="both"/>
                    <w:rPr>
                      <w:rFonts w:cs="Calibri"/>
                      <w:sz w:val="20"/>
                      <w:szCs w:val="20"/>
                    </w:rPr>
                  </w:pPr>
                  <w:r w:rsidRPr="001735A7">
                    <w:rPr>
                      <w:rFonts w:cs="Calibri"/>
                      <w:sz w:val="20"/>
                      <w:szCs w:val="20"/>
                    </w:rPr>
                    <w:t>75 – 84 (prosječan sa primjetnim greškama)</w:t>
                  </w:r>
                </w:p>
              </w:tc>
            </w:tr>
            <w:tr w:rsidR="00A909D5" w:rsidRPr="001735A7" w:rsidTr="00515D12">
              <w:tc>
                <w:tcPr>
                  <w:tcW w:w="1442" w:type="dxa"/>
                  <w:shd w:val="clear" w:color="auto" w:fill="auto"/>
                </w:tcPr>
                <w:p w:rsidR="00A909D5" w:rsidRPr="001735A7" w:rsidRDefault="00A909D5" w:rsidP="00515D12">
                  <w:pPr>
                    <w:spacing w:after="0" w:line="240" w:lineRule="auto"/>
                    <w:jc w:val="center"/>
                    <w:rPr>
                      <w:rFonts w:cs="Calibri"/>
                      <w:sz w:val="20"/>
                      <w:szCs w:val="20"/>
                    </w:rPr>
                  </w:pPr>
                  <w:r w:rsidRPr="001735A7">
                    <w:rPr>
                      <w:rFonts w:cs="Calibri"/>
                      <w:sz w:val="20"/>
                      <w:szCs w:val="20"/>
                    </w:rPr>
                    <w:t>7 (D)</w:t>
                  </w:r>
                </w:p>
              </w:tc>
              <w:tc>
                <w:tcPr>
                  <w:tcW w:w="7394" w:type="dxa"/>
                  <w:shd w:val="clear" w:color="auto" w:fill="auto"/>
                </w:tcPr>
                <w:p w:rsidR="00A909D5" w:rsidRPr="001735A7" w:rsidRDefault="00A909D5" w:rsidP="00515D12">
                  <w:pPr>
                    <w:spacing w:after="0" w:line="240" w:lineRule="auto"/>
                    <w:jc w:val="both"/>
                    <w:rPr>
                      <w:rFonts w:cs="Calibri"/>
                      <w:sz w:val="20"/>
                      <w:szCs w:val="20"/>
                    </w:rPr>
                  </w:pPr>
                  <w:r w:rsidRPr="001735A7">
                    <w:rPr>
                      <w:rFonts w:cs="Calibri"/>
                      <w:sz w:val="20"/>
                      <w:szCs w:val="20"/>
                    </w:rPr>
                    <w:t>65 – 74 (općenito dobar ali sa značajnim nedostacima)</w:t>
                  </w:r>
                </w:p>
              </w:tc>
            </w:tr>
            <w:tr w:rsidR="00A909D5" w:rsidRPr="001735A7" w:rsidTr="00515D12">
              <w:tc>
                <w:tcPr>
                  <w:tcW w:w="1442" w:type="dxa"/>
                  <w:shd w:val="clear" w:color="auto" w:fill="auto"/>
                </w:tcPr>
                <w:p w:rsidR="00A909D5" w:rsidRPr="001735A7" w:rsidRDefault="00A909D5" w:rsidP="00515D12">
                  <w:pPr>
                    <w:tabs>
                      <w:tab w:val="left" w:pos="2558"/>
                    </w:tabs>
                    <w:spacing w:after="0" w:line="240" w:lineRule="auto"/>
                    <w:jc w:val="center"/>
                    <w:rPr>
                      <w:rFonts w:cs="Calibri"/>
                      <w:sz w:val="20"/>
                      <w:szCs w:val="20"/>
                    </w:rPr>
                  </w:pPr>
                  <w:r w:rsidRPr="001735A7">
                    <w:rPr>
                      <w:rFonts w:cs="Calibri"/>
                      <w:sz w:val="20"/>
                      <w:szCs w:val="20"/>
                    </w:rPr>
                    <w:t>6 (E)</w:t>
                  </w:r>
                </w:p>
              </w:tc>
              <w:tc>
                <w:tcPr>
                  <w:tcW w:w="7394" w:type="dxa"/>
                  <w:shd w:val="clear" w:color="auto" w:fill="auto"/>
                </w:tcPr>
                <w:p w:rsidR="00A909D5" w:rsidRPr="001735A7" w:rsidRDefault="00A909D5" w:rsidP="00515D12">
                  <w:pPr>
                    <w:spacing w:after="0" w:line="240" w:lineRule="auto"/>
                    <w:jc w:val="both"/>
                    <w:rPr>
                      <w:rFonts w:cs="Calibri"/>
                      <w:sz w:val="20"/>
                      <w:szCs w:val="20"/>
                    </w:rPr>
                  </w:pPr>
                  <w:r w:rsidRPr="001735A7">
                    <w:rPr>
                      <w:rFonts w:cs="Calibri"/>
                      <w:sz w:val="20"/>
                      <w:szCs w:val="20"/>
                    </w:rPr>
                    <w:t>55 – 64 (zadovoljava minimalne uslove)</w:t>
                  </w:r>
                </w:p>
              </w:tc>
            </w:tr>
            <w:tr w:rsidR="00A909D5" w:rsidRPr="001735A7" w:rsidTr="00515D12">
              <w:tc>
                <w:tcPr>
                  <w:tcW w:w="1442" w:type="dxa"/>
                  <w:shd w:val="clear" w:color="auto" w:fill="auto"/>
                </w:tcPr>
                <w:p w:rsidR="00A909D5" w:rsidRPr="001735A7" w:rsidRDefault="00A909D5" w:rsidP="00515D12">
                  <w:pPr>
                    <w:spacing w:after="0" w:line="240" w:lineRule="auto"/>
                    <w:jc w:val="center"/>
                    <w:rPr>
                      <w:rFonts w:cs="Calibri"/>
                      <w:sz w:val="20"/>
                      <w:szCs w:val="20"/>
                    </w:rPr>
                  </w:pPr>
                  <w:r w:rsidRPr="001735A7">
                    <w:rPr>
                      <w:rFonts w:cs="Calibri"/>
                      <w:sz w:val="20"/>
                      <w:szCs w:val="20"/>
                    </w:rPr>
                    <w:t>5 (F,FX)</w:t>
                  </w:r>
                </w:p>
              </w:tc>
              <w:tc>
                <w:tcPr>
                  <w:tcW w:w="7394" w:type="dxa"/>
                  <w:shd w:val="clear" w:color="auto" w:fill="auto"/>
                </w:tcPr>
                <w:p w:rsidR="00A909D5" w:rsidRPr="001735A7" w:rsidRDefault="00A909D5" w:rsidP="00515D12">
                  <w:pPr>
                    <w:spacing w:after="0" w:line="240" w:lineRule="auto"/>
                    <w:jc w:val="both"/>
                    <w:rPr>
                      <w:rFonts w:cs="Calibri"/>
                      <w:sz w:val="20"/>
                      <w:szCs w:val="20"/>
                    </w:rPr>
                  </w:pPr>
                  <w:r w:rsidRPr="001735A7">
                    <w:rPr>
                      <w:rFonts w:cs="Calibri"/>
                      <w:sz w:val="20"/>
                      <w:szCs w:val="20"/>
                    </w:rPr>
                    <w:t>Manje od 55 (ne zadovoljava minimalne uslove)</w:t>
                  </w:r>
                </w:p>
              </w:tc>
            </w:tr>
          </w:tbl>
          <w:p w:rsidR="00A909D5" w:rsidRPr="001735A7" w:rsidRDefault="00A909D5" w:rsidP="00515D12">
            <w:pPr>
              <w:spacing w:after="0" w:line="240" w:lineRule="auto"/>
              <w:jc w:val="both"/>
              <w:rPr>
                <w:rFonts w:eastAsia="SimSun" w:cs="Calibri"/>
                <w:sz w:val="16"/>
                <w:szCs w:val="16"/>
                <w:lang w:eastAsia="de-DE"/>
              </w:rPr>
            </w:pPr>
          </w:p>
          <w:p w:rsidR="00A909D5" w:rsidRPr="001735A7" w:rsidRDefault="00A909D5" w:rsidP="00515D12">
            <w:pPr>
              <w:spacing w:after="0" w:line="240" w:lineRule="auto"/>
              <w:jc w:val="both"/>
              <w:rPr>
                <w:rFonts w:eastAsia="SimSun" w:cs="Calibri"/>
                <w:i/>
                <w:lang w:eastAsia="de-DE"/>
              </w:rPr>
            </w:pPr>
            <w:r w:rsidRPr="001735A7">
              <w:rPr>
                <w:rFonts w:eastAsia="SimSun" w:cs="Calibri"/>
                <w:i/>
                <w:lang w:eastAsia="de-DE"/>
              </w:rPr>
              <w:t xml:space="preserve">Prije početka studijske godine Nastavno-naučno vijeće Fakulteta posebnom odlukom utvrđuje za svaki nastavni predmet strukturu bodova i bodovni kriterij. Osim toga Nastavno-naučno vijeće utvrđuje </w:t>
            </w:r>
            <w:r w:rsidRPr="001735A7">
              <w:rPr>
                <w:rFonts w:eastAsia="SimSun" w:cs="Calibri"/>
                <w:i/>
                <w:lang w:eastAsia="de-DE"/>
              </w:rPr>
              <w:lastRenderedPageBreak/>
              <w:t>način vrednovanja znanja i strukturu bodova za vanredne i DL studente.</w:t>
            </w:r>
          </w:p>
          <w:p w:rsidR="00A909D5" w:rsidRPr="001735A7" w:rsidRDefault="00A909D5" w:rsidP="00515D12">
            <w:pPr>
              <w:spacing w:after="0" w:line="240" w:lineRule="auto"/>
              <w:jc w:val="both"/>
              <w:rPr>
                <w:rFonts w:eastAsia="SimSun" w:cs="Calibri"/>
                <w:sz w:val="16"/>
                <w:szCs w:val="16"/>
                <w:lang w:eastAsia="de-DE"/>
              </w:rPr>
            </w:pPr>
          </w:p>
        </w:tc>
      </w:tr>
      <w:tr w:rsidR="00A909D5" w:rsidRPr="001735A7" w:rsidTr="00515D12">
        <w:trPr>
          <w:trHeight w:val="346"/>
        </w:trPr>
        <w:tc>
          <w:tcPr>
            <w:tcW w:w="2953" w:type="dxa"/>
            <w:vMerge w:val="restart"/>
            <w:tcBorders>
              <w:top w:val="single" w:sz="4" w:space="0" w:color="auto"/>
              <w:left w:val="single" w:sz="4" w:space="0" w:color="auto"/>
              <w:bottom w:val="single" w:sz="4" w:space="0" w:color="auto"/>
              <w:right w:val="single" w:sz="4" w:space="0" w:color="auto"/>
            </w:tcBorders>
            <w:shd w:val="clear" w:color="auto" w:fill="E7E6E6"/>
          </w:tcPr>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
                <w:bCs/>
                <w:lang w:eastAsia="de-DE"/>
              </w:rPr>
            </w:pPr>
            <w:r w:rsidRPr="001735A7">
              <w:rPr>
                <w:rFonts w:eastAsia="SimSun" w:cs="Calibri"/>
                <w:b/>
                <w:bCs/>
                <w:lang w:eastAsia="de-DE"/>
              </w:rPr>
              <w:t>Literatura</w:t>
            </w:r>
          </w:p>
          <w:p w:rsidR="00A909D5" w:rsidRPr="001735A7" w:rsidRDefault="00A909D5" w:rsidP="00515D12">
            <w:pPr>
              <w:spacing w:after="0" w:line="240" w:lineRule="auto"/>
              <w:rPr>
                <w:rFonts w:eastAsia="SimSun" w:cs="Calibri"/>
                <w:b/>
                <w:bCs/>
                <w:lang w:eastAsia="de-DE"/>
              </w:rPr>
            </w:pPr>
          </w:p>
          <w:p w:rsidR="00A909D5" w:rsidRPr="001735A7" w:rsidRDefault="00A909D5" w:rsidP="00515D12">
            <w:pPr>
              <w:spacing w:after="0" w:line="240" w:lineRule="auto"/>
              <w:rPr>
                <w:rFonts w:eastAsia="SimSun" w:cs="Calibri"/>
                <w:bCs/>
                <w:i/>
                <w:lang w:eastAsia="de-DE"/>
              </w:rPr>
            </w:pPr>
          </w:p>
        </w:tc>
        <w:tc>
          <w:tcPr>
            <w:tcW w:w="6332" w:type="dxa"/>
            <w:gridSpan w:val="7"/>
            <w:tcBorders>
              <w:top w:val="single" w:sz="4" w:space="0" w:color="auto"/>
              <w:left w:val="single" w:sz="4" w:space="0" w:color="auto"/>
              <w:bottom w:val="single" w:sz="4" w:space="0" w:color="auto"/>
              <w:right w:val="single" w:sz="4" w:space="0" w:color="auto"/>
            </w:tcBorders>
          </w:tcPr>
          <w:p w:rsidR="00A909D5" w:rsidRPr="00EF64D0" w:rsidRDefault="00A909D5" w:rsidP="00515D12">
            <w:pPr>
              <w:spacing w:after="0" w:line="240" w:lineRule="auto"/>
              <w:jc w:val="both"/>
              <w:rPr>
                <w:rFonts w:asciiTheme="minorHAnsi" w:hAnsiTheme="minorHAnsi" w:cstheme="minorHAnsi"/>
              </w:rPr>
            </w:pPr>
            <w:r w:rsidRPr="00EF64D0">
              <w:rPr>
                <w:rFonts w:asciiTheme="minorHAnsi" w:hAnsiTheme="minorHAnsi" w:cstheme="minorHAnsi"/>
                <w:b/>
                <w:i/>
                <w:lang w:val="hr-BA"/>
              </w:rPr>
              <w:t xml:space="preserve">Obavezna literatura: </w:t>
            </w:r>
          </w:p>
          <w:p w:rsidR="00A909D5" w:rsidRPr="00EF64D0" w:rsidRDefault="00BA639D" w:rsidP="00515D12">
            <w:pPr>
              <w:spacing w:line="240" w:lineRule="auto"/>
              <w:ind w:left="360"/>
              <w:rPr>
                <w:rFonts w:asciiTheme="minorHAnsi" w:hAnsiTheme="minorHAnsi" w:cstheme="minorHAnsi"/>
                <w:color w:val="000000"/>
              </w:rPr>
            </w:pPr>
            <w:r>
              <w:rPr>
                <w:rFonts w:asciiTheme="minorHAnsi" w:hAnsiTheme="minorHAnsi" w:cstheme="minorHAnsi"/>
                <w:color w:val="000000"/>
              </w:rPr>
              <w:t xml:space="preserve">- </w:t>
            </w:r>
            <w:r w:rsidR="00A909D5" w:rsidRPr="00EF64D0">
              <w:rPr>
                <w:rFonts w:asciiTheme="minorHAnsi" w:hAnsiTheme="minorHAnsi" w:cstheme="minorHAnsi"/>
                <w:color w:val="000000"/>
              </w:rPr>
              <w:t>A. Bikić, Obligaciono pravo – posebni dio, drugo izmijenjeno i dopunjeno izdanje, Sarajevo 2011</w:t>
            </w:r>
          </w:p>
          <w:p w:rsidR="00A909D5" w:rsidRPr="00EF64D0" w:rsidRDefault="00BA639D" w:rsidP="00515D12">
            <w:pPr>
              <w:spacing w:line="240" w:lineRule="auto"/>
              <w:ind w:left="360"/>
              <w:rPr>
                <w:rFonts w:asciiTheme="minorHAnsi" w:hAnsiTheme="minorHAnsi" w:cstheme="minorHAnsi"/>
                <w:color w:val="000000"/>
              </w:rPr>
            </w:pPr>
            <w:r>
              <w:rPr>
                <w:rFonts w:asciiTheme="minorHAnsi" w:hAnsiTheme="minorHAnsi" w:cstheme="minorHAnsi"/>
                <w:color w:val="000000"/>
              </w:rPr>
              <w:t xml:space="preserve">- </w:t>
            </w:r>
            <w:r w:rsidR="00A909D5" w:rsidRPr="00EF64D0">
              <w:rPr>
                <w:rFonts w:asciiTheme="minorHAnsi" w:hAnsiTheme="minorHAnsi" w:cstheme="minorHAnsi"/>
                <w:color w:val="000000"/>
              </w:rPr>
              <w:t>UN Convention on International Sale of Goods - h</w:t>
            </w:r>
            <w:r w:rsidR="00A909D5" w:rsidRPr="00EF64D0">
              <w:rPr>
                <w:rFonts w:asciiTheme="minorHAnsi" w:hAnsiTheme="minorHAnsi" w:cstheme="minorHAnsi"/>
              </w:rPr>
              <w:t xml:space="preserve">ttp://www.uncitral.org/pdf/english/texts/sales/cisg/V1056997-CISG-e-book.pdf  </w:t>
            </w:r>
          </w:p>
          <w:p w:rsidR="00A909D5" w:rsidRPr="00BA639D" w:rsidRDefault="00A909D5" w:rsidP="00BA639D">
            <w:pPr>
              <w:pStyle w:val="ListParagraph"/>
              <w:numPr>
                <w:ilvl w:val="0"/>
                <w:numId w:val="4"/>
              </w:numPr>
              <w:spacing w:line="240" w:lineRule="auto"/>
              <w:rPr>
                <w:rFonts w:asciiTheme="minorHAnsi" w:hAnsiTheme="minorHAnsi" w:cstheme="minorHAnsi"/>
                <w:color w:val="000000"/>
                <w:lang w:val="en"/>
              </w:rPr>
            </w:pPr>
            <w:r w:rsidRPr="00BA639D">
              <w:rPr>
                <w:rFonts w:asciiTheme="minorHAnsi" w:hAnsiTheme="minorHAnsi" w:cstheme="minorHAnsi"/>
                <w:color w:val="000000"/>
                <w:lang w:val="en"/>
              </w:rPr>
              <w:t>Graves/</w:t>
            </w:r>
            <w:proofErr w:type="spellStart"/>
            <w:r w:rsidRPr="00BA639D">
              <w:rPr>
                <w:rFonts w:asciiTheme="minorHAnsi" w:hAnsiTheme="minorHAnsi" w:cstheme="minorHAnsi"/>
                <w:color w:val="000000"/>
                <w:lang w:val="en"/>
              </w:rPr>
              <w:t>Morriasay</w:t>
            </w:r>
            <w:proofErr w:type="spellEnd"/>
            <w:r w:rsidRPr="00BA639D">
              <w:rPr>
                <w:rFonts w:asciiTheme="minorHAnsi" w:hAnsiTheme="minorHAnsi" w:cstheme="minorHAnsi"/>
                <w:color w:val="000000"/>
                <w:lang w:val="en"/>
              </w:rPr>
              <w:t>, International Sales Law and Arbitration: Problems, Cases and Commentary,  Kluwer Law International, 2008</w:t>
            </w:r>
          </w:p>
          <w:p w:rsidR="00A909D5" w:rsidRPr="00BA639D" w:rsidRDefault="00A909D5" w:rsidP="00BA639D">
            <w:pPr>
              <w:pStyle w:val="ListParagraph"/>
              <w:numPr>
                <w:ilvl w:val="0"/>
                <w:numId w:val="4"/>
              </w:numPr>
              <w:spacing w:line="240" w:lineRule="auto"/>
              <w:rPr>
                <w:rFonts w:asciiTheme="minorHAnsi" w:hAnsiTheme="minorHAnsi" w:cstheme="minorHAnsi"/>
                <w:color w:val="000000"/>
                <w:lang w:val="en"/>
              </w:rPr>
            </w:pPr>
            <w:r w:rsidRPr="00BA639D">
              <w:rPr>
                <w:rFonts w:asciiTheme="minorHAnsi" w:hAnsiTheme="minorHAnsi" w:cstheme="minorHAnsi"/>
                <w:color w:val="000000"/>
                <w:lang w:val="en"/>
              </w:rPr>
              <w:t xml:space="preserve">UN </w:t>
            </w:r>
            <w:proofErr w:type="spellStart"/>
            <w:r w:rsidRPr="00BA639D">
              <w:rPr>
                <w:rFonts w:asciiTheme="minorHAnsi" w:hAnsiTheme="minorHAnsi" w:cstheme="minorHAnsi"/>
                <w:color w:val="000000"/>
                <w:lang w:val="en"/>
              </w:rPr>
              <w:t>onvention</w:t>
            </w:r>
            <w:proofErr w:type="spellEnd"/>
            <w:r w:rsidRPr="00BA639D">
              <w:rPr>
                <w:rFonts w:asciiTheme="minorHAnsi" w:hAnsiTheme="minorHAnsi" w:cstheme="minorHAnsi"/>
                <w:color w:val="000000"/>
                <w:lang w:val="en"/>
              </w:rPr>
              <w:t xml:space="preserve"> on Contracts for the International Sale of Goods (CISG): Commentary, C. H. Beck, Hart Publishing, 2011</w:t>
            </w:r>
          </w:p>
          <w:p w:rsidR="00A909D5" w:rsidRPr="00BA639D" w:rsidRDefault="00A909D5" w:rsidP="00BA639D">
            <w:pPr>
              <w:pStyle w:val="ListParagraph"/>
              <w:numPr>
                <w:ilvl w:val="0"/>
                <w:numId w:val="4"/>
              </w:numPr>
              <w:spacing w:line="240" w:lineRule="auto"/>
              <w:rPr>
                <w:rFonts w:asciiTheme="minorHAnsi" w:hAnsiTheme="minorHAnsi" w:cstheme="minorHAnsi"/>
                <w:color w:val="000000"/>
                <w:lang w:val="en"/>
              </w:rPr>
            </w:pPr>
            <w:r w:rsidRPr="00BA639D">
              <w:rPr>
                <w:rFonts w:asciiTheme="minorHAnsi" w:hAnsiTheme="minorHAnsi" w:cstheme="minorHAnsi"/>
                <w:color w:val="000000"/>
                <w:lang w:val="en"/>
              </w:rPr>
              <w:t>UNCITRAL Model Law on Arbitration</w:t>
            </w:r>
          </w:p>
          <w:p w:rsidR="00BA639D" w:rsidRPr="00BA639D" w:rsidRDefault="00BA639D" w:rsidP="00BA639D">
            <w:pPr>
              <w:pStyle w:val="ListParagraph"/>
              <w:numPr>
                <w:ilvl w:val="0"/>
                <w:numId w:val="3"/>
              </w:numPr>
              <w:shd w:val="clear" w:color="auto" w:fill="FFFFFF"/>
              <w:spacing w:after="0" w:line="240" w:lineRule="auto"/>
              <w:textAlignment w:val="baseline"/>
              <w:rPr>
                <w:rFonts w:asciiTheme="minorHAnsi" w:eastAsia="Times New Roman" w:hAnsiTheme="minorHAnsi" w:cstheme="minorHAnsi"/>
                <w:color w:val="201F1E"/>
                <w:lang w:val="en-US"/>
              </w:rPr>
            </w:pPr>
            <w:r w:rsidRPr="00BA639D">
              <w:rPr>
                <w:rFonts w:asciiTheme="minorHAnsi" w:hAnsiTheme="minorHAnsi" w:cstheme="minorHAnsi"/>
                <w:color w:val="201F1E"/>
              </w:rPr>
              <w:t>Moses, Margaret L., Introduction to International Commercial Arbitration (October 11, 2011). PRINCIPLES AND PRACTICES OF INTERNATIONAL ARBITRATION, 2ND ED., Cambridge University Press, 2012; Loyola University Chicago School of Law Research Paper No. 2011-027. Available at SSRN: </w:t>
            </w:r>
            <w:hyperlink r:id="rId5" w:tgtFrame="_blank" w:history="1">
              <w:r w:rsidRPr="00BA639D">
                <w:rPr>
                  <w:rStyle w:val="Hyperlink"/>
                  <w:rFonts w:asciiTheme="minorHAnsi" w:hAnsiTheme="minorHAnsi" w:cstheme="minorHAnsi"/>
                  <w:bdr w:val="none" w:sz="0" w:space="0" w:color="auto" w:frame="1"/>
                </w:rPr>
                <w:t>https://ssrn.com/abstract=1942525</w:t>
              </w:r>
            </w:hyperlink>
            <w:r w:rsidRPr="00BA639D">
              <w:rPr>
                <w:rFonts w:asciiTheme="minorHAnsi" w:hAnsiTheme="minorHAnsi" w:cstheme="minorHAnsi"/>
                <w:color w:val="201F1E"/>
              </w:rPr>
              <w:t xml:space="preserve"> </w:t>
            </w:r>
          </w:p>
          <w:p w:rsidR="00BA639D" w:rsidRPr="00EE24D1" w:rsidRDefault="00BA639D" w:rsidP="00BA639D">
            <w:pPr>
              <w:pStyle w:val="ListParagraph"/>
              <w:numPr>
                <w:ilvl w:val="0"/>
                <w:numId w:val="3"/>
              </w:numPr>
              <w:shd w:val="clear" w:color="auto" w:fill="FFFFFF"/>
              <w:spacing w:after="0" w:line="240" w:lineRule="auto"/>
              <w:textAlignment w:val="baseline"/>
              <w:rPr>
                <w:rFonts w:asciiTheme="minorHAnsi" w:eastAsia="Times New Roman" w:hAnsiTheme="minorHAnsi" w:cstheme="minorHAnsi"/>
                <w:color w:val="201F1E"/>
                <w:lang w:val="fr-FR"/>
              </w:rPr>
            </w:pPr>
            <w:r w:rsidRPr="00BA639D">
              <w:rPr>
                <w:rFonts w:asciiTheme="minorHAnsi" w:hAnsiTheme="minorHAnsi" w:cstheme="minorHAnsi"/>
                <w:color w:val="201F1E"/>
              </w:rPr>
              <w:t>Gary B. Born, </w:t>
            </w:r>
            <w:r w:rsidRPr="00BA639D">
              <w:rPr>
                <w:rFonts w:asciiTheme="minorHAnsi" w:hAnsiTheme="minorHAnsi" w:cstheme="minorHAnsi"/>
                <w:color w:val="201F1E"/>
                <w:bdr w:val="none" w:sz="0" w:space="0" w:color="auto" w:frame="1"/>
              </w:rPr>
              <w:t>The New York Convention: A Self-Executing Treaty</w:t>
            </w:r>
            <w:r w:rsidRPr="00BA639D">
              <w:rPr>
                <w:rFonts w:asciiTheme="minorHAnsi" w:hAnsiTheme="minorHAnsi" w:cstheme="minorHAnsi"/>
                <w:color w:val="201F1E"/>
              </w:rPr>
              <w:t>, 40 M</w:t>
            </w:r>
            <w:r w:rsidRPr="00BA639D">
              <w:rPr>
                <w:rFonts w:asciiTheme="minorHAnsi" w:hAnsiTheme="minorHAnsi" w:cstheme="minorHAnsi"/>
                <w:color w:val="201F1E"/>
                <w:bdr w:val="none" w:sz="0" w:space="0" w:color="auto" w:frame="1"/>
              </w:rPr>
              <w:t>ich.</w:t>
            </w:r>
            <w:r w:rsidRPr="00BA639D">
              <w:rPr>
                <w:rFonts w:asciiTheme="minorHAnsi" w:hAnsiTheme="minorHAnsi" w:cstheme="minorHAnsi"/>
                <w:color w:val="201F1E"/>
              </w:rPr>
              <w:t> J. I</w:t>
            </w:r>
            <w:r w:rsidRPr="00BA639D">
              <w:rPr>
                <w:rFonts w:asciiTheme="minorHAnsi" w:hAnsiTheme="minorHAnsi" w:cstheme="minorHAnsi"/>
                <w:color w:val="201F1E"/>
                <w:bdr w:val="none" w:sz="0" w:space="0" w:color="auto" w:frame="1"/>
              </w:rPr>
              <w:t>nt'l</w:t>
            </w:r>
            <w:r w:rsidRPr="00BA639D">
              <w:rPr>
                <w:rFonts w:asciiTheme="minorHAnsi" w:hAnsiTheme="minorHAnsi" w:cstheme="minorHAnsi"/>
                <w:color w:val="201F1E"/>
              </w:rPr>
              <w:t> L. 115 (2018). </w:t>
            </w:r>
            <w:r w:rsidRPr="00BA639D">
              <w:rPr>
                <w:rFonts w:asciiTheme="minorHAnsi" w:hAnsiTheme="minorHAnsi" w:cstheme="minorHAnsi"/>
                <w:color w:val="201F1E"/>
              </w:rPr>
              <w:br/>
              <w:t>Available at: </w:t>
            </w:r>
            <w:hyperlink r:id="rId6" w:tgtFrame="_blank" w:history="1">
              <w:r w:rsidRPr="00BA639D">
                <w:rPr>
                  <w:rStyle w:val="Hyperlink"/>
                  <w:rFonts w:asciiTheme="minorHAnsi" w:hAnsiTheme="minorHAnsi" w:cstheme="minorHAnsi"/>
                  <w:bdr w:val="none" w:sz="0" w:space="0" w:color="auto" w:frame="1"/>
                </w:rPr>
                <w:t>https://repository.law.umich.edu/mjil/vol40/iss1/4</w:t>
              </w:r>
            </w:hyperlink>
          </w:p>
          <w:p w:rsidR="00BA639D" w:rsidRPr="001735A7" w:rsidRDefault="00BA639D" w:rsidP="00515D12">
            <w:pPr>
              <w:spacing w:line="240" w:lineRule="auto"/>
              <w:rPr>
                <w:rFonts w:eastAsia="SimSun" w:cs="Calibri"/>
                <w:lang w:eastAsia="de-DE"/>
              </w:rPr>
            </w:pPr>
          </w:p>
        </w:tc>
      </w:tr>
      <w:tr w:rsidR="00A909D5" w:rsidRPr="001735A7" w:rsidTr="00515D12">
        <w:trPr>
          <w:trHeight w:val="620"/>
        </w:trPr>
        <w:tc>
          <w:tcPr>
            <w:tcW w:w="2953" w:type="dxa"/>
            <w:vMerge/>
            <w:tcBorders>
              <w:top w:val="single" w:sz="4" w:space="0" w:color="auto"/>
              <w:left w:val="single" w:sz="4" w:space="0" w:color="auto"/>
              <w:bottom w:val="single" w:sz="4" w:space="0" w:color="auto"/>
              <w:right w:val="single" w:sz="4" w:space="0" w:color="auto"/>
            </w:tcBorders>
            <w:vAlign w:val="center"/>
            <w:hideMark/>
          </w:tcPr>
          <w:p w:rsidR="00A909D5" w:rsidRPr="001735A7" w:rsidRDefault="00A909D5" w:rsidP="00515D12">
            <w:pPr>
              <w:spacing w:after="0" w:line="240" w:lineRule="auto"/>
              <w:rPr>
                <w:rFonts w:eastAsia="SimSun" w:cs="Calibri"/>
                <w:bCs/>
                <w:i/>
                <w:lang w:eastAsia="de-DE"/>
              </w:rPr>
            </w:pPr>
          </w:p>
        </w:tc>
        <w:tc>
          <w:tcPr>
            <w:tcW w:w="6332" w:type="dxa"/>
            <w:gridSpan w:val="7"/>
            <w:tcBorders>
              <w:top w:val="single" w:sz="4" w:space="0" w:color="auto"/>
              <w:left w:val="single" w:sz="4" w:space="0" w:color="auto"/>
              <w:bottom w:val="single" w:sz="4" w:space="0" w:color="auto"/>
              <w:right w:val="single" w:sz="4" w:space="0" w:color="auto"/>
            </w:tcBorders>
          </w:tcPr>
          <w:p w:rsidR="00A909D5" w:rsidRDefault="00A909D5" w:rsidP="00515D12">
            <w:pPr>
              <w:spacing w:after="0" w:line="240" w:lineRule="auto"/>
              <w:jc w:val="both"/>
              <w:rPr>
                <w:lang w:val="sl-SI"/>
              </w:rPr>
            </w:pPr>
            <w:r w:rsidRPr="001735A7">
              <w:rPr>
                <w:rFonts w:cs="Calibri"/>
                <w:b/>
                <w:i/>
                <w:lang w:val="sl-SI"/>
              </w:rPr>
              <w:t>Dopunska literatura</w:t>
            </w:r>
            <w:r w:rsidRPr="001735A7">
              <w:rPr>
                <w:rFonts w:cs="Calibri"/>
                <w:b/>
                <w:lang w:val="sl-SI"/>
              </w:rPr>
              <w:t>:</w:t>
            </w:r>
            <w:r>
              <w:rPr>
                <w:lang w:val="sl-SI"/>
              </w:rPr>
              <w:t xml:space="preserve"> </w:t>
            </w:r>
          </w:p>
          <w:p w:rsidR="00A909D5" w:rsidRPr="005A31E7" w:rsidRDefault="00A909D5" w:rsidP="00515D12">
            <w:pPr>
              <w:pStyle w:val="NormalWeb"/>
              <w:rPr>
                <w:rFonts w:asciiTheme="minorHAnsi" w:hAnsiTheme="minorHAnsi"/>
                <w:sz w:val="22"/>
              </w:rPr>
            </w:pPr>
            <w:r w:rsidRPr="005A31E7">
              <w:rPr>
                <w:rFonts w:asciiTheme="minorHAnsi" w:hAnsiTheme="minorHAnsi"/>
                <w:sz w:val="22"/>
              </w:rPr>
              <w:t xml:space="preserve">Internationality, uniformity and observance of good faith as criteria in interpretation of CISG, Alexander S. Komarov http://www.uncitral.org/pdf/english/CISG25/Komarov.pdf </w:t>
            </w:r>
          </w:p>
          <w:p w:rsidR="00A909D5" w:rsidRPr="005A31E7" w:rsidRDefault="00A909D5" w:rsidP="00515D12">
            <w:pPr>
              <w:pStyle w:val="NormalWeb"/>
              <w:rPr>
                <w:rFonts w:asciiTheme="minorHAnsi" w:hAnsiTheme="minorHAnsi"/>
                <w:sz w:val="22"/>
              </w:rPr>
            </w:pPr>
            <w:r w:rsidRPr="005A31E7">
              <w:rPr>
                <w:rFonts w:asciiTheme="minorHAnsi" w:hAnsiTheme="minorHAnsi"/>
                <w:sz w:val="22"/>
              </w:rPr>
              <w:t xml:space="preserve">Interpretation and gap filling under the CISG,  Nives Povrzenic, http://www.cisg.law.pace.edu/cisg/text/gap-fill.html </w:t>
            </w:r>
          </w:p>
          <w:p w:rsidR="00A909D5" w:rsidRPr="005A31E7" w:rsidRDefault="00A909D5" w:rsidP="00515D12">
            <w:pPr>
              <w:pStyle w:val="NormalWeb"/>
              <w:rPr>
                <w:rFonts w:asciiTheme="minorHAnsi" w:hAnsiTheme="minorHAnsi"/>
                <w:sz w:val="22"/>
              </w:rPr>
            </w:pPr>
            <w:r w:rsidRPr="005A31E7">
              <w:rPr>
                <w:rFonts w:asciiTheme="minorHAnsi" w:hAnsiTheme="minorHAnsi"/>
                <w:sz w:val="22"/>
              </w:rPr>
              <w:t xml:space="preserve">Article 8 of the CISG, E. Allan Farnsworth http://www.cisg.law.pace.edu/cisg/biblio/farnsworth-bb8.html </w:t>
            </w:r>
          </w:p>
          <w:p w:rsidR="00A909D5" w:rsidRPr="005A31E7" w:rsidRDefault="00A909D5" w:rsidP="00515D12">
            <w:pPr>
              <w:pStyle w:val="NormalWeb"/>
              <w:rPr>
                <w:rFonts w:asciiTheme="minorHAnsi" w:hAnsiTheme="minorHAnsi"/>
                <w:sz w:val="22"/>
              </w:rPr>
            </w:pPr>
            <w:r w:rsidRPr="005A31E7">
              <w:rPr>
                <w:rFonts w:asciiTheme="minorHAnsi" w:hAnsiTheme="minorHAnsi"/>
                <w:sz w:val="22"/>
              </w:rPr>
              <w:lastRenderedPageBreak/>
              <w:t xml:space="preserve">Formation of contract according to the CISG, Belkıs VURAL http://www.ankarabarosu.org.tr/siteler/AnkaraBarReview/tekmakale/2013-1/5.pdf) </w:t>
            </w:r>
          </w:p>
          <w:p w:rsidR="00A909D5" w:rsidRPr="005A31E7" w:rsidRDefault="00A909D5" w:rsidP="00515D12">
            <w:pPr>
              <w:pStyle w:val="NormalWeb"/>
              <w:rPr>
                <w:rFonts w:asciiTheme="minorHAnsi" w:hAnsiTheme="minorHAnsi"/>
                <w:sz w:val="22"/>
              </w:rPr>
            </w:pPr>
            <w:r w:rsidRPr="005A31E7">
              <w:rPr>
                <w:rFonts w:asciiTheme="minorHAnsi" w:hAnsiTheme="minorHAnsi"/>
                <w:sz w:val="22"/>
              </w:rPr>
              <w:t xml:space="preserve">Allison E. Butler, A practical guide to the CISG; Negotiations through litigation, A spen Publisher, 2007, file:///C:/Users/home/Desktop/butler6-ch4.pdf </w:t>
            </w:r>
          </w:p>
          <w:p w:rsidR="00A909D5" w:rsidRDefault="00A909D5" w:rsidP="00A909D5">
            <w:pPr>
              <w:spacing w:after="0" w:line="240" w:lineRule="auto"/>
              <w:jc w:val="both"/>
              <w:rPr>
                <w:rStyle w:val="Hyperlink"/>
                <w:lang w:val="en-US"/>
              </w:rPr>
            </w:pPr>
            <w:r w:rsidRPr="00DF2356">
              <w:rPr>
                <w:lang w:val="en-US"/>
              </w:rPr>
              <w:t xml:space="preserve">Ulrich Magnus, The Remedy of Avoidance of Contract Under CISG - General Remarks and Special Cases, </w:t>
            </w:r>
            <w:hyperlink r:id="rId7" w:history="1">
              <w:r w:rsidRPr="003D6949">
                <w:rPr>
                  <w:rStyle w:val="Hyperlink"/>
                  <w:lang w:val="en-US"/>
                </w:rPr>
                <w:t>http://www.cisg.law.pace.edu/cisg/biblio/magnus2.html</w:t>
              </w:r>
            </w:hyperlink>
            <w:r>
              <w:rPr>
                <w:rStyle w:val="Hyperlink"/>
                <w:lang w:val="en-US"/>
              </w:rPr>
              <w:t xml:space="preserve"> </w:t>
            </w:r>
          </w:p>
          <w:p w:rsidR="00BA639D" w:rsidRPr="001735A7" w:rsidRDefault="00BA639D" w:rsidP="00A909D5">
            <w:pPr>
              <w:spacing w:after="0" w:line="240" w:lineRule="auto"/>
              <w:jc w:val="both"/>
              <w:rPr>
                <w:rFonts w:eastAsia="SimSun" w:cs="Calibri"/>
                <w:lang w:eastAsia="de-DE"/>
              </w:rPr>
            </w:pPr>
          </w:p>
        </w:tc>
      </w:tr>
      <w:tr w:rsidR="00A909D5" w:rsidRPr="001735A7" w:rsidTr="00515D12">
        <w:trPr>
          <w:trHeight w:val="620"/>
        </w:trPr>
        <w:tc>
          <w:tcPr>
            <w:tcW w:w="2953" w:type="dxa"/>
            <w:tcBorders>
              <w:top w:val="single" w:sz="4" w:space="0" w:color="auto"/>
              <w:left w:val="single" w:sz="4" w:space="0" w:color="auto"/>
              <w:bottom w:val="single" w:sz="4" w:space="0" w:color="auto"/>
              <w:right w:val="single" w:sz="4" w:space="0" w:color="auto"/>
            </w:tcBorders>
            <w:vAlign w:val="center"/>
          </w:tcPr>
          <w:p w:rsidR="00A909D5" w:rsidRPr="00A909D5" w:rsidRDefault="00A909D5" w:rsidP="00A909D5">
            <w:pPr>
              <w:spacing w:after="0" w:line="240" w:lineRule="auto"/>
              <w:jc w:val="center"/>
              <w:rPr>
                <w:rFonts w:eastAsia="SimSun" w:cs="Calibri"/>
                <w:b/>
                <w:bCs/>
                <w:lang w:eastAsia="de-DE"/>
              </w:rPr>
            </w:pPr>
            <w:r w:rsidRPr="00A909D5">
              <w:rPr>
                <w:rFonts w:eastAsia="SimSun" w:cs="Calibri"/>
                <w:b/>
                <w:bCs/>
                <w:lang w:eastAsia="de-DE"/>
              </w:rPr>
              <w:lastRenderedPageBreak/>
              <w:t>Plan rada</w:t>
            </w:r>
          </w:p>
        </w:tc>
        <w:tc>
          <w:tcPr>
            <w:tcW w:w="6332" w:type="dxa"/>
            <w:gridSpan w:val="7"/>
            <w:tcBorders>
              <w:top w:val="single" w:sz="4" w:space="0" w:color="auto"/>
              <w:left w:val="single" w:sz="4" w:space="0" w:color="auto"/>
              <w:bottom w:val="single" w:sz="4" w:space="0" w:color="auto"/>
              <w:right w:val="single" w:sz="4" w:space="0" w:color="auto"/>
            </w:tcBorders>
          </w:tcPr>
          <w:p w:rsidR="00A909D5" w:rsidRDefault="0043782C" w:rsidP="00515D12">
            <w:pPr>
              <w:spacing w:after="0" w:line="240" w:lineRule="auto"/>
              <w:jc w:val="both"/>
              <w:rPr>
                <w:rFonts w:cs="Calibri"/>
                <w:lang w:val="sl-SI"/>
              </w:rPr>
            </w:pPr>
            <w:r>
              <w:rPr>
                <w:rFonts w:cs="Calibri"/>
                <w:lang w:val="sl-SI"/>
              </w:rPr>
              <w:t>30% časova će izvesti stručnjak iz prakse mag. Aida Skenderagić</w:t>
            </w:r>
          </w:p>
          <w:p w:rsidR="0043782C" w:rsidRDefault="0043782C" w:rsidP="00515D12">
            <w:pPr>
              <w:spacing w:after="0" w:line="240" w:lineRule="auto"/>
              <w:jc w:val="both"/>
              <w:rPr>
                <w:rFonts w:cs="Calibri"/>
                <w:lang w:val="sl-SI"/>
              </w:rPr>
            </w:pPr>
          </w:p>
          <w:p w:rsidR="0043782C" w:rsidRDefault="00EE24D1" w:rsidP="00515D12">
            <w:pPr>
              <w:spacing w:after="0" w:line="240" w:lineRule="auto"/>
              <w:jc w:val="both"/>
              <w:rPr>
                <w:rFonts w:cs="Calibri"/>
                <w:lang w:val="sl-SI"/>
              </w:rPr>
            </w:pPr>
            <w:r>
              <w:rPr>
                <w:rFonts w:cs="Calibri"/>
                <w:lang w:val="sl-SI"/>
              </w:rPr>
              <w:t>25.02 (2</w:t>
            </w:r>
            <w:bookmarkStart w:id="0" w:name="_GoBack"/>
            <w:bookmarkEnd w:id="0"/>
            <w:r w:rsidR="008D4ECE">
              <w:rPr>
                <w:rFonts w:cs="Calibri"/>
                <w:lang w:val="sl-SI"/>
              </w:rPr>
              <w:t xml:space="preserve"> časa)</w:t>
            </w:r>
            <w:r w:rsidR="0043782C">
              <w:rPr>
                <w:rFonts w:cs="Calibri"/>
                <w:lang w:val="sl-SI"/>
              </w:rPr>
              <w:t>: uvodni časovi, mag. Aida Skenderagić</w:t>
            </w:r>
          </w:p>
          <w:p w:rsidR="0043782C" w:rsidRDefault="0043782C" w:rsidP="00515D12">
            <w:pPr>
              <w:spacing w:after="0" w:line="240" w:lineRule="auto"/>
              <w:jc w:val="both"/>
              <w:rPr>
                <w:rFonts w:cs="Calibri"/>
                <w:lang w:val="sl-SI"/>
              </w:rPr>
            </w:pPr>
          </w:p>
          <w:p w:rsidR="0043782C" w:rsidRPr="008D4ECE" w:rsidRDefault="0043782C" w:rsidP="00515D12">
            <w:pPr>
              <w:spacing w:after="0" w:line="240" w:lineRule="auto"/>
              <w:jc w:val="both"/>
              <w:rPr>
                <w:rFonts w:asciiTheme="minorHAnsi" w:hAnsiTheme="minorHAnsi" w:cstheme="minorHAnsi"/>
                <w:lang w:val="sl-SI"/>
              </w:rPr>
            </w:pPr>
            <w:r w:rsidRPr="008D4ECE">
              <w:rPr>
                <w:rFonts w:asciiTheme="minorHAnsi" w:hAnsiTheme="minorHAnsi" w:cstheme="minorHAnsi"/>
                <w:lang w:val="sl-SI"/>
              </w:rPr>
              <w:t xml:space="preserve">05.03. (2 časa) </w:t>
            </w:r>
            <w:r w:rsidR="008D4ECE" w:rsidRPr="008D4ECE">
              <w:rPr>
                <w:rFonts w:asciiTheme="minorHAnsi" w:hAnsiTheme="minorHAnsi" w:cstheme="minorHAnsi"/>
                <w:lang w:val="sl-SI"/>
              </w:rPr>
              <w:t>Predstavljanje VIS Moot (koncept, faze, primjeri memoranduma), mag. Aida Skenderagić</w:t>
            </w:r>
          </w:p>
          <w:p w:rsidR="008D4ECE" w:rsidRPr="008D4ECE" w:rsidRDefault="008D4ECE" w:rsidP="00515D12">
            <w:pPr>
              <w:spacing w:after="0" w:line="240" w:lineRule="auto"/>
              <w:jc w:val="both"/>
              <w:rPr>
                <w:rFonts w:asciiTheme="minorHAnsi" w:hAnsiTheme="minorHAnsi" w:cstheme="minorHAnsi"/>
                <w:highlight w:val="yellow"/>
                <w:lang w:val="sl-SI"/>
              </w:rPr>
            </w:pPr>
          </w:p>
          <w:p w:rsidR="008D4ECE" w:rsidRPr="008D4ECE" w:rsidRDefault="008D4ECE" w:rsidP="008D4ECE">
            <w:pPr>
              <w:shd w:val="clear" w:color="auto" w:fill="FFFFFF"/>
              <w:spacing w:after="0" w:line="240" w:lineRule="auto"/>
              <w:textAlignment w:val="baseline"/>
              <w:rPr>
                <w:rFonts w:asciiTheme="minorHAnsi" w:eastAsia="Times New Roman" w:hAnsiTheme="minorHAnsi" w:cstheme="minorHAnsi"/>
                <w:color w:val="201F1E"/>
                <w:lang w:val="sl-SI"/>
              </w:rPr>
            </w:pPr>
            <w:r w:rsidRPr="008D4ECE">
              <w:rPr>
                <w:rFonts w:asciiTheme="minorHAnsi" w:eastAsia="Times New Roman" w:hAnsiTheme="minorHAnsi" w:cstheme="minorHAnsi"/>
                <w:color w:val="201F1E"/>
                <w:lang w:val="sl-SI"/>
              </w:rPr>
              <w:t>17.03. (3 časa) – Predstavljanje slučaja na kojem će studenti tokom semestra raditi (činjenice, osnovne postavke, upute za literaturu). Tokom cijelog semestra studenti se paralelno sa usvajanjem novih znanja vraćaju se na slučaj, kontinuirano ga istrazuju, sa ciljem da 19.05. imaju konkretnije predstave o tome kako će riješiti slučaj. Konačna analiza slučaja se predaje do kraja maja.</w:t>
            </w:r>
          </w:p>
          <w:p w:rsidR="008D4ECE" w:rsidRPr="00DA557B" w:rsidRDefault="008D4ECE" w:rsidP="00515D12">
            <w:pPr>
              <w:spacing w:after="0" w:line="240" w:lineRule="auto"/>
              <w:jc w:val="both"/>
              <w:rPr>
                <w:rFonts w:cs="Calibri"/>
                <w:highlight w:val="yellow"/>
                <w:lang w:val="sl-SI"/>
              </w:rPr>
            </w:pPr>
          </w:p>
          <w:p w:rsidR="0043782C" w:rsidRPr="008D4ECE" w:rsidRDefault="0043782C" w:rsidP="00515D12">
            <w:pPr>
              <w:spacing w:after="0" w:line="240" w:lineRule="auto"/>
              <w:jc w:val="both"/>
              <w:rPr>
                <w:rFonts w:cs="Calibri"/>
                <w:lang w:val="sl-SI"/>
              </w:rPr>
            </w:pPr>
            <w:r w:rsidRPr="008D4ECE">
              <w:rPr>
                <w:rFonts w:cs="Calibri"/>
                <w:lang w:val="sl-SI"/>
              </w:rPr>
              <w:t>23.03. (4 časa), Alternativno rješavanje sporova u BiH, Rad Arbitražnog suda pr VTK BiH</w:t>
            </w:r>
          </w:p>
          <w:p w:rsidR="0043782C" w:rsidRPr="008D4ECE" w:rsidRDefault="0043782C" w:rsidP="00515D12">
            <w:pPr>
              <w:spacing w:after="0" w:line="240" w:lineRule="auto"/>
              <w:jc w:val="both"/>
              <w:rPr>
                <w:rFonts w:cs="Calibri"/>
                <w:lang w:val="sl-SI"/>
              </w:rPr>
            </w:pPr>
          </w:p>
          <w:p w:rsidR="0043782C" w:rsidRDefault="0043782C" w:rsidP="00515D12">
            <w:pPr>
              <w:spacing w:after="0" w:line="240" w:lineRule="auto"/>
              <w:jc w:val="both"/>
              <w:rPr>
                <w:rFonts w:cs="Calibri"/>
                <w:lang w:val="sl-SI"/>
              </w:rPr>
            </w:pPr>
            <w:r w:rsidRPr="008D4ECE">
              <w:rPr>
                <w:rFonts w:cs="Calibri"/>
                <w:lang w:val="sl-SI"/>
              </w:rPr>
              <w:t>30.03. (4 časa), CISG, prof. dr. Abedin Bikić</w:t>
            </w:r>
          </w:p>
          <w:p w:rsidR="0043782C" w:rsidRDefault="0043782C" w:rsidP="00515D12">
            <w:pPr>
              <w:spacing w:after="0" w:line="240" w:lineRule="auto"/>
              <w:jc w:val="both"/>
              <w:rPr>
                <w:rFonts w:cs="Calibri"/>
                <w:lang w:val="sl-SI"/>
              </w:rPr>
            </w:pPr>
          </w:p>
          <w:p w:rsidR="0043782C" w:rsidRDefault="0043782C" w:rsidP="00515D12">
            <w:pPr>
              <w:spacing w:after="0" w:line="240" w:lineRule="auto"/>
              <w:jc w:val="both"/>
              <w:rPr>
                <w:rFonts w:cs="Calibri"/>
                <w:lang w:val="sl-SI"/>
              </w:rPr>
            </w:pPr>
            <w:r>
              <w:rPr>
                <w:rFonts w:cs="Calibri"/>
                <w:lang w:val="sl-SI"/>
              </w:rPr>
              <w:t>14.04. (3 časa), Arbitražna klauzula, posebnosti i tok arbitražnog postupka, međunarodna arbitražna praksa, nezavisnost i nepristrasnost arbitara, pisanje podnesaka, izvođenje dokaza</w:t>
            </w:r>
            <w:r w:rsidR="00DA557B">
              <w:rPr>
                <w:rFonts w:cs="Calibri"/>
                <w:lang w:val="sl-SI"/>
              </w:rPr>
              <w:t>, prof. dr. Meliha Povlakić</w:t>
            </w:r>
          </w:p>
          <w:p w:rsidR="0043782C" w:rsidRDefault="0043782C" w:rsidP="00515D12">
            <w:pPr>
              <w:spacing w:after="0" w:line="240" w:lineRule="auto"/>
              <w:jc w:val="both"/>
              <w:rPr>
                <w:rFonts w:cs="Calibri"/>
                <w:lang w:val="sl-SI"/>
              </w:rPr>
            </w:pPr>
          </w:p>
          <w:p w:rsidR="0043782C" w:rsidRDefault="0043782C" w:rsidP="00515D12">
            <w:pPr>
              <w:spacing w:after="0" w:line="240" w:lineRule="auto"/>
              <w:jc w:val="both"/>
              <w:rPr>
                <w:rFonts w:cs="Calibri"/>
                <w:lang w:val="sl-SI"/>
              </w:rPr>
            </w:pPr>
            <w:r>
              <w:rPr>
                <w:rFonts w:cs="Calibri"/>
                <w:lang w:val="sl-SI"/>
              </w:rPr>
              <w:t>28.04. (3 časa) Arbitražna klauzula, posebnosti i tok arbitražnog postupka, međunarodna arbitražna praksa, nezavisnost i nepristrasnost arbitara, pisanje podnesaka, izvođenje dokaza, prof. dr. Meliha Povlakić</w:t>
            </w:r>
          </w:p>
          <w:p w:rsidR="0043782C" w:rsidRDefault="0043782C" w:rsidP="00515D12">
            <w:pPr>
              <w:spacing w:after="0" w:line="240" w:lineRule="auto"/>
              <w:jc w:val="both"/>
              <w:rPr>
                <w:rFonts w:cs="Calibri"/>
                <w:lang w:val="sl-SI"/>
              </w:rPr>
            </w:pPr>
          </w:p>
          <w:p w:rsidR="0043782C" w:rsidRDefault="0043782C" w:rsidP="00515D12">
            <w:pPr>
              <w:spacing w:after="0" w:line="240" w:lineRule="auto"/>
              <w:jc w:val="both"/>
              <w:rPr>
                <w:rFonts w:cs="Calibri"/>
                <w:lang w:val="sl-SI"/>
              </w:rPr>
            </w:pPr>
            <w:r>
              <w:rPr>
                <w:rFonts w:cs="Calibri"/>
                <w:lang w:val="sl-SI"/>
              </w:rPr>
              <w:t>05.05. (3 časa) priznanje i izvršenja inostranih arbitražnih odluka, prof. dr. Meliha Povlakić</w:t>
            </w:r>
          </w:p>
          <w:p w:rsidR="0043782C" w:rsidRDefault="0043782C" w:rsidP="00515D12">
            <w:pPr>
              <w:spacing w:after="0" w:line="240" w:lineRule="auto"/>
              <w:jc w:val="both"/>
              <w:rPr>
                <w:rFonts w:cs="Calibri"/>
                <w:lang w:val="sl-SI"/>
              </w:rPr>
            </w:pPr>
          </w:p>
          <w:p w:rsidR="0043782C" w:rsidRDefault="00DA557B" w:rsidP="00515D12">
            <w:pPr>
              <w:spacing w:after="0" w:line="240" w:lineRule="auto"/>
              <w:jc w:val="both"/>
              <w:rPr>
                <w:rFonts w:cs="Calibri"/>
                <w:lang w:val="sl-SI"/>
              </w:rPr>
            </w:pPr>
            <w:r>
              <w:rPr>
                <w:rFonts w:cs="Calibri"/>
                <w:lang w:val="sl-SI"/>
              </w:rPr>
              <w:t>19.05 (3 časa), rad na zadatom slučaju, mag. Aida Skenderagić</w:t>
            </w:r>
          </w:p>
          <w:p w:rsidR="00DA557B" w:rsidRDefault="00DA557B" w:rsidP="00515D12">
            <w:pPr>
              <w:spacing w:after="0" w:line="240" w:lineRule="auto"/>
              <w:jc w:val="both"/>
              <w:rPr>
                <w:rFonts w:cs="Calibri"/>
                <w:lang w:val="sl-SI"/>
              </w:rPr>
            </w:pPr>
          </w:p>
          <w:p w:rsidR="00DA557B" w:rsidRDefault="00DA557B" w:rsidP="00515D12">
            <w:pPr>
              <w:spacing w:after="0" w:line="240" w:lineRule="auto"/>
              <w:jc w:val="both"/>
              <w:rPr>
                <w:rFonts w:cs="Calibri"/>
                <w:lang w:val="sl-SI"/>
              </w:rPr>
            </w:pPr>
            <w:r>
              <w:rPr>
                <w:rFonts w:cs="Calibri"/>
                <w:lang w:val="sl-SI"/>
              </w:rPr>
              <w:t>02.06. (3 časa), učešće studenata na konferenciji o arbitražnom pravu koja će se održati na Pravnom fakultetu Univerziteta u Sarajevu 02.06 (ev. Moguće pomjeranje na 01.06.2020).</w:t>
            </w:r>
          </w:p>
          <w:p w:rsidR="0043782C" w:rsidRDefault="0043782C" w:rsidP="00515D12">
            <w:pPr>
              <w:spacing w:after="0" w:line="240" w:lineRule="auto"/>
              <w:jc w:val="both"/>
              <w:rPr>
                <w:rFonts w:cs="Calibri"/>
                <w:lang w:val="sl-SI"/>
              </w:rPr>
            </w:pPr>
          </w:p>
          <w:p w:rsidR="0043782C" w:rsidRPr="00A909D5" w:rsidRDefault="0043782C" w:rsidP="00515D12">
            <w:pPr>
              <w:spacing w:after="0" w:line="240" w:lineRule="auto"/>
              <w:jc w:val="both"/>
              <w:rPr>
                <w:rFonts w:cs="Calibri"/>
                <w:lang w:val="sl-SI"/>
              </w:rPr>
            </w:pPr>
          </w:p>
        </w:tc>
      </w:tr>
    </w:tbl>
    <w:p w:rsidR="00A909D5" w:rsidRPr="00926437" w:rsidRDefault="00A909D5" w:rsidP="00A909D5"/>
    <w:p w:rsidR="00A909D5" w:rsidRDefault="00A909D5" w:rsidP="00A909D5"/>
    <w:p w:rsidR="00A909D5" w:rsidRDefault="00A909D5" w:rsidP="00A909D5"/>
    <w:p w:rsidR="00A909D5" w:rsidRDefault="00A909D5" w:rsidP="00A909D5"/>
    <w:p w:rsidR="00A909D5" w:rsidRDefault="00A909D5" w:rsidP="00A909D5"/>
    <w:p w:rsidR="00A909D5" w:rsidRDefault="00A909D5" w:rsidP="00A909D5"/>
    <w:p w:rsidR="009442CA" w:rsidRDefault="009442CA"/>
    <w:sectPr w:rsidR="00944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40AB"/>
    <w:multiLevelType w:val="hybridMultilevel"/>
    <w:tmpl w:val="57B63D7E"/>
    <w:lvl w:ilvl="0" w:tplc="206879C8">
      <w:start w:val="13"/>
      <w:numFmt w:val="bullet"/>
      <w:lvlText w:val="-"/>
      <w:lvlJc w:val="left"/>
      <w:pPr>
        <w:ind w:left="66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147EA"/>
    <w:multiLevelType w:val="hybridMultilevel"/>
    <w:tmpl w:val="2AFEB8AE"/>
    <w:lvl w:ilvl="0" w:tplc="09BA9C36">
      <w:start w:val="3"/>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77E2923"/>
    <w:multiLevelType w:val="hybridMultilevel"/>
    <w:tmpl w:val="5E007966"/>
    <w:lvl w:ilvl="0" w:tplc="206879C8">
      <w:start w:val="13"/>
      <w:numFmt w:val="bullet"/>
      <w:lvlText w:val="-"/>
      <w:lvlJc w:val="left"/>
      <w:pPr>
        <w:ind w:left="660" w:hanging="360"/>
      </w:pPr>
      <w:rPr>
        <w:rFonts w:ascii="Calibri" w:eastAsiaTheme="minorHAnsi" w:hAnsi="Calibri" w:cstheme="minorBidi" w:hint="default"/>
        <w:b/>
      </w:rPr>
    </w:lvl>
    <w:lvl w:ilvl="1" w:tplc="141A0003" w:tentative="1">
      <w:start w:val="1"/>
      <w:numFmt w:val="bullet"/>
      <w:lvlText w:val="o"/>
      <w:lvlJc w:val="left"/>
      <w:pPr>
        <w:ind w:left="1380" w:hanging="360"/>
      </w:pPr>
      <w:rPr>
        <w:rFonts w:ascii="Courier New" w:hAnsi="Courier New" w:cs="Courier New" w:hint="default"/>
      </w:rPr>
    </w:lvl>
    <w:lvl w:ilvl="2" w:tplc="141A0005" w:tentative="1">
      <w:start w:val="1"/>
      <w:numFmt w:val="bullet"/>
      <w:lvlText w:val=""/>
      <w:lvlJc w:val="left"/>
      <w:pPr>
        <w:ind w:left="2100" w:hanging="360"/>
      </w:pPr>
      <w:rPr>
        <w:rFonts w:ascii="Wingdings" w:hAnsi="Wingdings" w:hint="default"/>
      </w:rPr>
    </w:lvl>
    <w:lvl w:ilvl="3" w:tplc="141A0001" w:tentative="1">
      <w:start w:val="1"/>
      <w:numFmt w:val="bullet"/>
      <w:lvlText w:val=""/>
      <w:lvlJc w:val="left"/>
      <w:pPr>
        <w:ind w:left="2820" w:hanging="360"/>
      </w:pPr>
      <w:rPr>
        <w:rFonts w:ascii="Symbol" w:hAnsi="Symbol" w:hint="default"/>
      </w:rPr>
    </w:lvl>
    <w:lvl w:ilvl="4" w:tplc="141A0003" w:tentative="1">
      <w:start w:val="1"/>
      <w:numFmt w:val="bullet"/>
      <w:lvlText w:val="o"/>
      <w:lvlJc w:val="left"/>
      <w:pPr>
        <w:ind w:left="3540" w:hanging="360"/>
      </w:pPr>
      <w:rPr>
        <w:rFonts w:ascii="Courier New" w:hAnsi="Courier New" w:cs="Courier New" w:hint="default"/>
      </w:rPr>
    </w:lvl>
    <w:lvl w:ilvl="5" w:tplc="141A0005" w:tentative="1">
      <w:start w:val="1"/>
      <w:numFmt w:val="bullet"/>
      <w:lvlText w:val=""/>
      <w:lvlJc w:val="left"/>
      <w:pPr>
        <w:ind w:left="4260" w:hanging="360"/>
      </w:pPr>
      <w:rPr>
        <w:rFonts w:ascii="Wingdings" w:hAnsi="Wingdings" w:hint="default"/>
      </w:rPr>
    </w:lvl>
    <w:lvl w:ilvl="6" w:tplc="141A0001" w:tentative="1">
      <w:start w:val="1"/>
      <w:numFmt w:val="bullet"/>
      <w:lvlText w:val=""/>
      <w:lvlJc w:val="left"/>
      <w:pPr>
        <w:ind w:left="4980" w:hanging="360"/>
      </w:pPr>
      <w:rPr>
        <w:rFonts w:ascii="Symbol" w:hAnsi="Symbol" w:hint="default"/>
      </w:rPr>
    </w:lvl>
    <w:lvl w:ilvl="7" w:tplc="141A0003" w:tentative="1">
      <w:start w:val="1"/>
      <w:numFmt w:val="bullet"/>
      <w:lvlText w:val="o"/>
      <w:lvlJc w:val="left"/>
      <w:pPr>
        <w:ind w:left="5700" w:hanging="360"/>
      </w:pPr>
      <w:rPr>
        <w:rFonts w:ascii="Courier New" w:hAnsi="Courier New" w:cs="Courier New" w:hint="default"/>
      </w:rPr>
    </w:lvl>
    <w:lvl w:ilvl="8" w:tplc="141A0005" w:tentative="1">
      <w:start w:val="1"/>
      <w:numFmt w:val="bullet"/>
      <w:lvlText w:val=""/>
      <w:lvlJc w:val="left"/>
      <w:pPr>
        <w:ind w:left="6420" w:hanging="360"/>
      </w:pPr>
      <w:rPr>
        <w:rFonts w:ascii="Wingdings" w:hAnsi="Wingdings" w:hint="default"/>
      </w:rPr>
    </w:lvl>
  </w:abstractNum>
  <w:abstractNum w:abstractNumId="3">
    <w:nsid w:val="6A255D1C"/>
    <w:multiLevelType w:val="hybridMultilevel"/>
    <w:tmpl w:val="3D0C4D2C"/>
    <w:lvl w:ilvl="0" w:tplc="B0AC21BA">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D5"/>
    <w:rsid w:val="0043782C"/>
    <w:rsid w:val="008D4ECE"/>
    <w:rsid w:val="009442CA"/>
    <w:rsid w:val="00A909D5"/>
    <w:rsid w:val="00BA639D"/>
    <w:rsid w:val="00DA557B"/>
    <w:rsid w:val="00EE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F9F30-B921-4F70-8F53-00C572E4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D5"/>
    <w:pPr>
      <w:spacing w:after="200" w:line="276" w:lineRule="auto"/>
    </w:pPr>
    <w:rPr>
      <w:rFonts w:ascii="Calibri" w:eastAsia="Calibri" w:hAnsi="Calibri" w:cs="Times New Roman"/>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9D5"/>
    <w:pPr>
      <w:ind w:left="720"/>
      <w:contextualSpacing/>
    </w:pPr>
  </w:style>
  <w:style w:type="paragraph" w:styleId="NormalWeb">
    <w:name w:val="Normal (Web)"/>
    <w:basedOn w:val="Normal"/>
    <w:uiPriority w:val="99"/>
    <w:unhideWhenUsed/>
    <w:rsid w:val="00A909D5"/>
    <w:pPr>
      <w:spacing w:before="100" w:beforeAutospacing="1" w:after="100" w:afterAutospacing="1" w:line="240" w:lineRule="auto"/>
    </w:pPr>
    <w:rPr>
      <w:rFonts w:ascii="Times New Roman" w:eastAsia="Times New Roman" w:hAnsi="Times New Roman"/>
      <w:sz w:val="24"/>
      <w:szCs w:val="24"/>
      <w:lang w:eastAsia="bs-Latn-BA"/>
    </w:rPr>
  </w:style>
  <w:style w:type="character" w:styleId="Hyperlink">
    <w:name w:val="Hyperlink"/>
    <w:basedOn w:val="DefaultParagraphFont"/>
    <w:uiPriority w:val="99"/>
    <w:unhideWhenUsed/>
    <w:rsid w:val="00A909D5"/>
    <w:rPr>
      <w:color w:val="0563C1" w:themeColor="hyperlink"/>
      <w:u w:val="single"/>
    </w:rPr>
  </w:style>
  <w:style w:type="paragraph" w:styleId="BalloonText">
    <w:name w:val="Balloon Text"/>
    <w:basedOn w:val="Normal"/>
    <w:link w:val="BalloonTextChar"/>
    <w:uiPriority w:val="99"/>
    <w:semiHidden/>
    <w:unhideWhenUsed/>
    <w:rsid w:val="00A90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9D5"/>
    <w:rPr>
      <w:rFonts w:ascii="Segoe UI" w:eastAsia="Calibri" w:hAnsi="Segoe UI" w:cs="Segoe UI"/>
      <w:sz w:val="18"/>
      <w:szCs w:val="18"/>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772865">
      <w:bodyDiv w:val="1"/>
      <w:marLeft w:val="0"/>
      <w:marRight w:val="0"/>
      <w:marTop w:val="0"/>
      <w:marBottom w:val="0"/>
      <w:divBdr>
        <w:top w:val="none" w:sz="0" w:space="0" w:color="auto"/>
        <w:left w:val="none" w:sz="0" w:space="0" w:color="auto"/>
        <w:bottom w:val="none" w:sz="0" w:space="0" w:color="auto"/>
        <w:right w:val="none" w:sz="0" w:space="0" w:color="auto"/>
      </w:divBdr>
      <w:divsChild>
        <w:div w:id="426538862">
          <w:marLeft w:val="0"/>
          <w:marRight w:val="0"/>
          <w:marTop w:val="0"/>
          <w:marBottom w:val="0"/>
          <w:divBdr>
            <w:top w:val="none" w:sz="0" w:space="0" w:color="auto"/>
            <w:left w:val="none" w:sz="0" w:space="0" w:color="auto"/>
            <w:bottom w:val="none" w:sz="0" w:space="0" w:color="auto"/>
            <w:right w:val="none" w:sz="0" w:space="0" w:color="auto"/>
          </w:divBdr>
        </w:div>
        <w:div w:id="1485664349">
          <w:marLeft w:val="0"/>
          <w:marRight w:val="0"/>
          <w:marTop w:val="0"/>
          <w:marBottom w:val="0"/>
          <w:divBdr>
            <w:top w:val="none" w:sz="0" w:space="0" w:color="auto"/>
            <w:left w:val="none" w:sz="0" w:space="0" w:color="auto"/>
            <w:bottom w:val="none" w:sz="0" w:space="0" w:color="auto"/>
            <w:right w:val="none" w:sz="0" w:space="0" w:color="auto"/>
          </w:divBdr>
        </w:div>
        <w:div w:id="1208107274">
          <w:marLeft w:val="0"/>
          <w:marRight w:val="0"/>
          <w:marTop w:val="0"/>
          <w:marBottom w:val="0"/>
          <w:divBdr>
            <w:top w:val="none" w:sz="0" w:space="0" w:color="auto"/>
            <w:left w:val="none" w:sz="0" w:space="0" w:color="auto"/>
            <w:bottom w:val="none" w:sz="0" w:space="0" w:color="auto"/>
            <w:right w:val="none" w:sz="0" w:space="0" w:color="auto"/>
          </w:divBdr>
        </w:div>
      </w:divsChild>
    </w:div>
    <w:div w:id="2099524146">
      <w:bodyDiv w:val="1"/>
      <w:marLeft w:val="0"/>
      <w:marRight w:val="0"/>
      <w:marTop w:val="0"/>
      <w:marBottom w:val="0"/>
      <w:divBdr>
        <w:top w:val="none" w:sz="0" w:space="0" w:color="auto"/>
        <w:left w:val="none" w:sz="0" w:space="0" w:color="auto"/>
        <w:bottom w:val="none" w:sz="0" w:space="0" w:color="auto"/>
        <w:right w:val="none" w:sz="0" w:space="0" w:color="auto"/>
      </w:divBdr>
      <w:divsChild>
        <w:div w:id="1195076251">
          <w:marLeft w:val="0"/>
          <w:marRight w:val="0"/>
          <w:marTop w:val="0"/>
          <w:marBottom w:val="0"/>
          <w:divBdr>
            <w:top w:val="none" w:sz="0" w:space="0" w:color="auto"/>
            <w:left w:val="none" w:sz="0" w:space="0" w:color="auto"/>
            <w:bottom w:val="none" w:sz="0" w:space="0" w:color="auto"/>
            <w:right w:val="none" w:sz="0" w:space="0" w:color="auto"/>
          </w:divBdr>
        </w:div>
        <w:div w:id="1803889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sg.law.pace.edu/cisg/biblio/magnus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y.law.umich.edu/mjil/vol40/iss1/4" TargetMode="External"/><Relationship Id="rId5" Type="http://schemas.openxmlformats.org/officeDocument/2006/relationships/hyperlink" Target="https://ssrn.com/abstract=19425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2020-02-26T16:41:00Z</dcterms:created>
  <dcterms:modified xsi:type="dcterms:W3CDTF">2020-02-28T11:03:00Z</dcterms:modified>
</cp:coreProperties>
</file>