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E1A" w:rsidRDefault="00330E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330E1A" w:rsidRDefault="00330E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330E1A" w:rsidRDefault="004C43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I CIKLUS STUDIJA</w:t>
      </w:r>
    </w:p>
    <w:p w:rsidR="00330E1A" w:rsidRDefault="004C43C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>Međunarodno finansijsko pravo</w:t>
      </w:r>
    </w:p>
    <w:p w:rsidR="00330E1A" w:rsidRDefault="004C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Obavezni predmet</w:t>
      </w:r>
    </w:p>
    <w:p w:rsidR="00330E1A" w:rsidRDefault="004C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VII semestar / Akademska 201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./20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. godina</w:t>
      </w:r>
    </w:p>
    <w:p w:rsidR="00330E1A" w:rsidRDefault="004C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Broj kontakt sati (p+v): 2+0 </w:t>
      </w:r>
    </w:p>
    <w:p w:rsidR="00330E1A" w:rsidRDefault="004C4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>ECTS 3</w:t>
      </w:r>
    </w:p>
    <w:p w:rsidR="00330E1A" w:rsidRDefault="004C4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  <w:t>Nosilac predmeta:</w:t>
      </w:r>
    </w:p>
    <w:p w:rsidR="00330E1A" w:rsidRDefault="004C4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hr-HR"/>
        </w:rPr>
        <w:t>Doc. Dr. Edina Sudžuka</w:t>
      </w:r>
    </w:p>
    <w:p w:rsidR="00330E1A" w:rsidRDefault="004C4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  <w:t>Kontakt: e.sudzuka@pfsa.unsa.ba, 033 – 206 – 350</w:t>
      </w:r>
    </w:p>
    <w:p w:rsidR="00330E1A" w:rsidRDefault="004C43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  <w:t xml:space="preserve">Kabinet: Pravni fakultet, III kat, soba 308, </w:t>
      </w:r>
    </w:p>
    <w:p w:rsidR="00330E1A" w:rsidRDefault="004C43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val="hr-HR"/>
        </w:rPr>
        <w:t>Konsultacije: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Ponedjeljak od 14:00 do 17:45.</w:t>
      </w:r>
    </w:p>
    <w:p w:rsidR="00330E1A" w:rsidRDefault="004C43C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Izvod iz syllabusa</w:t>
      </w:r>
    </w:p>
    <w:p w:rsidR="00330E1A" w:rsidRDefault="004C43CE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  <w:t xml:space="preserve">Opis predmeta </w:t>
      </w:r>
    </w:p>
    <w:p w:rsidR="00330E1A" w:rsidRDefault="00330E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hr-HR"/>
        </w:rPr>
      </w:pPr>
    </w:p>
    <w:p w:rsidR="00330E1A" w:rsidRDefault="004C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hr-HR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Sadržaj predmeta obuhvata više tematskih cjelina, nastavom u okviru 15 sedmica će biti obuhvaćene slijedeće: </w:t>
      </w:r>
    </w:p>
    <w:p w:rsidR="00330E1A" w:rsidRDefault="00330E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hr-HR"/>
        </w:rPr>
      </w:pPr>
    </w:p>
    <w:p w:rsidR="00330E1A" w:rsidRDefault="004C43C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Predmet, razvoj,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izvori i principi Međunarodnog finansijskog prava </w:t>
      </w:r>
    </w:p>
    <w:p w:rsidR="00330E1A" w:rsidRDefault="004C43C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Međunarodni finansijski tokovi i odnosi</w:t>
      </w:r>
    </w:p>
    <w:p w:rsidR="00330E1A" w:rsidRDefault="004C43C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Subjekti međunarodnog finansijskog prava</w:t>
      </w:r>
    </w:p>
    <w:p w:rsidR="00330E1A" w:rsidRDefault="004C43C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Porezi i problemi oporezivanja u međunarodnom finansijskom pravu</w:t>
      </w:r>
    </w:p>
    <w:p w:rsidR="00330E1A" w:rsidRDefault="004C43CE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IV.I.  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Porezi i ekonomske integracije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</w:p>
    <w:p w:rsidR="00330E1A" w:rsidRDefault="004C43CE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IV.I.I. Porezna 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harmonizacija indirektnih poreza (PDV, Akcize) u Evropskoj uniji</w:t>
      </w:r>
    </w:p>
    <w:p w:rsidR="00330E1A" w:rsidRDefault="004C43CE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 xml:space="preserve">IV.I.II. </w:t>
      </w:r>
      <w:r>
        <w:rPr>
          <w:rFonts w:ascii="Times New Roman" w:eastAsia="Times New Roman" w:hAnsi="Times New Roman" w:cs="Times New Roman"/>
          <w:sz w:val="20"/>
          <w:szCs w:val="20"/>
          <w:lang w:val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Porezna harmonizacija </w:t>
      </w:r>
      <w:r>
        <w:rPr>
          <w:rFonts w:ascii="Times New Roman" w:eastAsia="Times New Roman" w:hAnsi="Times New Roman" w:cs="Times New Roman"/>
          <w:sz w:val="20"/>
          <w:szCs w:val="20"/>
          <w:lang w:val="de-DE"/>
        </w:rPr>
        <w:t>direktnih poreza (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porez na osobni dohodak</w:t>
      </w:r>
      <w:r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porez na dobit privrednih društava</w:t>
      </w:r>
      <w:r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porez na imovinu) u Evropskoj uniji</w:t>
      </w:r>
    </w:p>
    <w:p w:rsidR="00330E1A" w:rsidRDefault="004C43CE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IV.II. Carine i ostale mjere trgovinske zašt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ite u međunarodnim trgovinskim i finansijskim odnosima</w:t>
      </w:r>
    </w:p>
    <w:p w:rsidR="00330E1A" w:rsidRDefault="004C43CE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IV.III. Međunarodno dvostruko oporezivanje i metode njegovog izbjegavanja</w:t>
      </w:r>
    </w:p>
    <w:p w:rsidR="00330E1A" w:rsidRDefault="004C43C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Evropski monetarni sistem</w:t>
      </w:r>
    </w:p>
    <w:p w:rsidR="00330E1A" w:rsidRDefault="004C43CE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Međunarodni monetarni sistem</w:t>
      </w:r>
    </w:p>
    <w:p w:rsidR="00330E1A" w:rsidRDefault="004C43CE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VI.I. Međunarodne monetarne institucije</w:t>
      </w:r>
    </w:p>
    <w:p w:rsidR="00330E1A" w:rsidRDefault="004C43CE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nl-NL"/>
        </w:rPr>
      </w:pP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 xml:space="preserve">VI.II. Regionalne monetarne </w:t>
      </w:r>
      <w:r>
        <w:rPr>
          <w:rFonts w:ascii="Times New Roman" w:eastAsia="Times New Roman" w:hAnsi="Times New Roman" w:cs="Times New Roman"/>
          <w:sz w:val="20"/>
          <w:szCs w:val="20"/>
          <w:lang w:val="nl-NL"/>
        </w:rPr>
        <w:t>institucije</w:t>
      </w:r>
    </w:p>
    <w:p w:rsidR="00330E1A" w:rsidRDefault="00330E1A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nl-NL"/>
        </w:rPr>
      </w:pPr>
    </w:p>
    <w:p w:rsidR="00330E1A" w:rsidRDefault="004C43CE">
      <w:pPr>
        <w:numPr>
          <w:ilvl w:val="0"/>
          <w:numId w:val="2"/>
        </w:numPr>
        <w:tabs>
          <w:tab w:val="left" w:pos="300"/>
        </w:tabs>
        <w:autoSpaceDE w:val="0"/>
        <w:autoSpaceDN w:val="0"/>
        <w:adjustRightInd w:val="0"/>
        <w:spacing w:after="0" w:line="240" w:lineRule="auto"/>
        <w:ind w:hanging="820"/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Polaganje ispita /kontinuirano praćenje i ocjenjivanje rada studenata:</w:t>
      </w:r>
    </w:p>
    <w:p w:rsidR="00330E1A" w:rsidRDefault="004C43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Prv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>i parcijalni ispit</w:t>
      </w:r>
    </w:p>
    <w:p w:rsidR="00330E1A" w:rsidRDefault="004C43C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-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.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 sedmica nastave  (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18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.1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1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.201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9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. godine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za R i RS studente, 23.12.2019. za vanredne i dl studente -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grupe će naknadno biti formirane i oglašene)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 </w:t>
      </w:r>
    </w:p>
    <w:p w:rsidR="00330E1A" w:rsidRDefault="004C43C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>Napomena: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hr-HR"/>
        </w:rPr>
        <w:t>Ukoliko ispit iz drugog predmeta bude zakazan za isti dan - zadržava se pravo izmjene ispitnog termina;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ab/>
      </w:r>
    </w:p>
    <w:p w:rsidR="00330E1A" w:rsidRDefault="004C43C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- pismeni test koji nosi maksimalno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35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bodova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;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Student treba ostvariti minimalno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19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bodova da bi stekao uvjet za pristupanje II semestralnoj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provjeri znanja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 13.1.2020.</w:t>
      </w:r>
    </w:p>
    <w:p w:rsidR="00330E1A" w:rsidRDefault="004C43C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 xml:space="preserve">       b)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Drug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>i parcijalni ispit</w:t>
      </w:r>
    </w:p>
    <w:p w:rsidR="00330E1A" w:rsidRDefault="004C43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- 15. sedmica nastave  (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1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3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.01.20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20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. godine) </w:t>
      </w:r>
    </w:p>
    <w:p w:rsidR="00330E1A" w:rsidRDefault="004C43C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0"/>
          <w:szCs w:val="20"/>
          <w:u w:val="single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- od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2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8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do 5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0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bodova (uvjet za formiranje konačne ocjene je minimalno sticanje 55 bodova ostvarenih tokom I i II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hr-HR"/>
        </w:rPr>
        <w:t>parcijalnog ispita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)</w:t>
      </w:r>
    </w:p>
    <w:p w:rsidR="00330E1A" w:rsidRDefault="00330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330E1A" w:rsidRDefault="004C43C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 xml:space="preserve">  Aktivnost na časovima nastave -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hr-HR"/>
        </w:rPr>
        <w:t xml:space="preserve">seminarski rad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>od 0 do 1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hr-HR" w:eastAsia="hr-HR"/>
        </w:rPr>
        <w:t xml:space="preserve"> bodova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(bodovi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 xml:space="preserve">od 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>aktivnosti sabiraju se sa bodovima na testovima tek pri formiranj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  <w:t>u</w:t>
      </w:r>
      <w:r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  <w:t xml:space="preserve"> konačne ocjene)</w:t>
      </w:r>
    </w:p>
    <w:tbl>
      <w:tblPr>
        <w:tblpPr w:leftFromText="180" w:rightFromText="180" w:vertAnchor="page" w:horzAnchor="page" w:tblpX="1408" w:tblpY="1542"/>
        <w:tblW w:w="13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2"/>
        <w:gridCol w:w="1281"/>
        <w:gridCol w:w="4945"/>
      </w:tblGrid>
      <w:tr w:rsidR="00330E1A">
        <w:trPr>
          <w:trHeight w:val="274"/>
        </w:trPr>
        <w:tc>
          <w:tcPr>
            <w:tcW w:w="7642" w:type="dxa"/>
          </w:tcPr>
          <w:p w:rsidR="00330E1A" w:rsidRDefault="004C43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Oblik aktivnosti studenata u toku semestra</w:t>
            </w:r>
          </w:p>
        </w:tc>
        <w:tc>
          <w:tcPr>
            <w:tcW w:w="1281" w:type="dxa"/>
          </w:tcPr>
          <w:p w:rsidR="00330E1A" w:rsidRDefault="004C43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Bodovi (%)</w:t>
            </w:r>
          </w:p>
        </w:tc>
        <w:tc>
          <w:tcPr>
            <w:tcW w:w="4945" w:type="dxa"/>
          </w:tcPr>
          <w:p w:rsidR="00330E1A" w:rsidRDefault="004C43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Napomena:</w:t>
            </w:r>
          </w:p>
        </w:tc>
      </w:tr>
      <w:tr w:rsidR="00330E1A">
        <w:trPr>
          <w:trHeight w:val="274"/>
        </w:trPr>
        <w:tc>
          <w:tcPr>
            <w:tcW w:w="7642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Prva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parcijalni ispit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 (I semestralni test)</w:t>
            </w:r>
          </w:p>
        </w:tc>
        <w:tc>
          <w:tcPr>
            <w:tcW w:w="1281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945" w:type="dxa"/>
          </w:tcPr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  <w:t>Za prolaznu ocjenu potrebno ostvariti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  <w:t xml:space="preserve"> bodova</w:t>
            </w:r>
          </w:p>
          <w:p w:rsidR="00330E1A" w:rsidRDefault="004C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 – 29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– 32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35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330E1A">
        <w:trPr>
          <w:trHeight w:val="1614"/>
        </w:trPr>
        <w:tc>
          <w:tcPr>
            <w:tcW w:w="7642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Aktivnost na času</w:t>
            </w:r>
          </w:p>
        </w:tc>
        <w:tc>
          <w:tcPr>
            <w:tcW w:w="1281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5" w:type="dxa"/>
          </w:tcPr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Napomena: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Bodovi stečeni  u toku semestra po osnovu:</w:t>
            </w:r>
          </w:p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aktivnosti na nastavi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.izrade eseja (0-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bodova), prezentacije i izlaganja eseja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(3 boda) uračunavaju se tek pri formiranju konačne ocjene.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Minimalan broj bodova za prolaznu ocjenu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</w:p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i 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bodova =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b. =7; 11 i 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b.=8;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 i 14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b=9,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b.=10</w:t>
            </w:r>
          </w:p>
        </w:tc>
      </w:tr>
      <w:tr w:rsidR="00330E1A">
        <w:trPr>
          <w:trHeight w:val="529"/>
        </w:trPr>
        <w:tc>
          <w:tcPr>
            <w:tcW w:w="7642" w:type="dxa"/>
          </w:tcPr>
          <w:tbl>
            <w:tblPr>
              <w:tblW w:w="3107" w:type="dxa"/>
              <w:tblInd w:w="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07"/>
            </w:tblGrid>
            <w:tr w:rsidR="00330E1A">
              <w:trPr>
                <w:trHeight w:val="529"/>
              </w:trPr>
              <w:tc>
                <w:tcPr>
                  <w:tcW w:w="3107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Ukupno bodova tokom semestra</w:t>
                  </w:r>
                </w:p>
              </w:tc>
            </w:tr>
          </w:tbl>
          <w:p w:rsidR="00330E1A" w:rsidRDefault="00330E1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281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hr-HR"/>
              </w:rPr>
              <w:footnoteReference w:id="1"/>
            </w:r>
          </w:p>
        </w:tc>
        <w:tc>
          <w:tcPr>
            <w:tcW w:w="4945" w:type="dxa"/>
          </w:tcPr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Napomena: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Završnom ispitu pristupaju studenti koji su ostvarili minimalni broj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) bodova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na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parcijalnom ispitu.</w:t>
            </w:r>
          </w:p>
        </w:tc>
      </w:tr>
      <w:tr w:rsidR="00330E1A">
        <w:trPr>
          <w:trHeight w:val="729"/>
        </w:trPr>
        <w:tc>
          <w:tcPr>
            <w:tcW w:w="7642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3. Završni ispit (II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parcijalni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)</w:t>
            </w:r>
          </w:p>
        </w:tc>
        <w:tc>
          <w:tcPr>
            <w:tcW w:w="1281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4945" w:type="dxa"/>
          </w:tcPr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/>
              </w:rPr>
              <w:t>Napomena: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Uvjet za formiranje konačne ocjene je ostvareni minimum 55 bodova ( I +II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parcijalni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/završn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 xml:space="preserve"> ispit).</w:t>
            </w:r>
          </w:p>
        </w:tc>
      </w:tr>
      <w:tr w:rsidR="00330E1A">
        <w:trPr>
          <w:trHeight w:val="308"/>
        </w:trPr>
        <w:tc>
          <w:tcPr>
            <w:tcW w:w="7642" w:type="dxa"/>
          </w:tcPr>
          <w:tbl>
            <w:tblPr>
              <w:tblW w:w="3114" w:type="dxa"/>
              <w:tblInd w:w="4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4"/>
            </w:tblGrid>
            <w:tr w:rsidR="00330E1A">
              <w:trPr>
                <w:trHeight w:val="493"/>
              </w:trPr>
              <w:tc>
                <w:tcPr>
                  <w:tcW w:w="3114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 xml:space="preserve">Ukupno bodova </w:t>
                  </w:r>
                </w:p>
              </w:tc>
            </w:tr>
          </w:tbl>
          <w:p w:rsidR="00330E1A" w:rsidRDefault="00330E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281" w:type="dxa"/>
          </w:tcPr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100</w:t>
            </w:r>
          </w:p>
        </w:tc>
        <w:tc>
          <w:tcPr>
            <w:tcW w:w="4945" w:type="dxa"/>
          </w:tcPr>
          <w:p w:rsidR="00330E1A" w:rsidRDefault="00330E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330E1A">
        <w:trPr>
          <w:trHeight w:val="274"/>
        </w:trPr>
        <w:tc>
          <w:tcPr>
            <w:tcW w:w="7642" w:type="dxa"/>
          </w:tcPr>
          <w:p w:rsidR="00330E1A" w:rsidRDefault="004C43C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Konačna ocjena/ Distribucija bodova</w:t>
            </w:r>
          </w:p>
        </w:tc>
        <w:tc>
          <w:tcPr>
            <w:tcW w:w="6226" w:type="dxa"/>
            <w:gridSpan w:val="2"/>
          </w:tcPr>
          <w:p w:rsidR="00330E1A" w:rsidRDefault="00330E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330E1A">
        <w:trPr>
          <w:trHeight w:val="421"/>
        </w:trPr>
        <w:tc>
          <w:tcPr>
            <w:tcW w:w="7642" w:type="dxa"/>
          </w:tcPr>
          <w:tbl>
            <w:tblPr>
              <w:tblW w:w="74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41"/>
              <w:gridCol w:w="1038"/>
              <w:gridCol w:w="4131"/>
            </w:tblGrid>
            <w:tr w:rsidR="00330E1A">
              <w:trPr>
                <w:trHeight w:val="322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Broj stečenih bodova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Ocjena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val="hr-HR"/>
                    </w:rPr>
                    <w:t>Opis</w:t>
                  </w:r>
                </w:p>
              </w:tc>
            </w:tr>
            <w:tr w:rsidR="00330E1A">
              <w:trPr>
                <w:trHeight w:val="308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95-100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10(A)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Izuzetan uspjeh sa neznatnim greškama</w:t>
                  </w:r>
                </w:p>
              </w:tc>
            </w:tr>
            <w:tr w:rsidR="00330E1A">
              <w:trPr>
                <w:trHeight w:val="322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95-94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9 (B)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Iznad prosjeka, sa ponekom greškom</w:t>
                  </w:r>
                </w:p>
              </w:tc>
            </w:tr>
            <w:tr w:rsidR="00330E1A">
              <w:trPr>
                <w:trHeight w:val="322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75-84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8 (C)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Prosječan sa primjetnim greškama</w:t>
                  </w:r>
                </w:p>
              </w:tc>
            </w:tr>
            <w:tr w:rsidR="00330E1A">
              <w:trPr>
                <w:trHeight w:val="308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65-74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7 (D)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Općenito dobar, ali sa značajnim nedostacima</w:t>
                  </w:r>
                </w:p>
              </w:tc>
            </w:tr>
            <w:tr w:rsidR="00330E1A">
              <w:trPr>
                <w:trHeight w:val="322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55-64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6 (E)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Zadovoljava minimalne kriterije</w:t>
                  </w:r>
                </w:p>
              </w:tc>
            </w:tr>
            <w:tr w:rsidR="00330E1A">
              <w:trPr>
                <w:trHeight w:val="322"/>
              </w:trPr>
              <w:tc>
                <w:tcPr>
                  <w:tcW w:w="2241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0-54</w:t>
                  </w:r>
                </w:p>
              </w:tc>
              <w:tc>
                <w:tcPr>
                  <w:tcW w:w="1038" w:type="dxa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5 (FX, F)</w:t>
                  </w:r>
                </w:p>
              </w:tc>
              <w:tc>
                <w:tcPr>
                  <w:tcW w:w="4131" w:type="dxa"/>
                  <w:shd w:val="clear" w:color="auto" w:fill="auto"/>
                </w:tcPr>
                <w:p w:rsidR="00330E1A" w:rsidRDefault="004C43CE">
                  <w:pPr>
                    <w:framePr w:hSpace="180" w:wrap="around" w:vAnchor="page" w:hAnchor="page" w:x="1408" w:y="1542"/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hr-HR"/>
                    </w:rPr>
                    <w:t>Ne zadovoljava minimalne kriterije</w:t>
                  </w:r>
                </w:p>
              </w:tc>
            </w:tr>
          </w:tbl>
          <w:p w:rsidR="00330E1A" w:rsidRDefault="00330E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6226" w:type="dxa"/>
            <w:gridSpan w:val="2"/>
          </w:tcPr>
          <w:p w:rsidR="00330E1A" w:rsidRDefault="00330E1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Konačna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ocjena = 1+2+ 3</w:t>
            </w:r>
          </w:p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Konačna ocjena = 3 ECTS (obavezni predmet)</w:t>
            </w:r>
          </w:p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                           </w:t>
            </w:r>
          </w:p>
          <w:p w:rsidR="00330E1A" w:rsidRDefault="004C43C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                         </w:t>
            </w:r>
          </w:p>
        </w:tc>
      </w:tr>
    </w:tbl>
    <w:p w:rsidR="00330E1A" w:rsidRDefault="00330E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330E1A" w:rsidRDefault="00330E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330E1A" w:rsidRDefault="00330E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330E1A" w:rsidRDefault="00330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330E1A" w:rsidRDefault="00330E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hr-HR" w:eastAsia="hr-HR"/>
        </w:rPr>
      </w:pPr>
    </w:p>
    <w:p w:rsidR="00330E1A" w:rsidRDefault="00330E1A">
      <w:pPr>
        <w:rPr>
          <w:rFonts w:ascii="Times New Roman" w:hAnsi="Times New Roman" w:cs="Times New Roman"/>
          <w:sz w:val="20"/>
          <w:szCs w:val="20"/>
        </w:rPr>
      </w:pPr>
    </w:p>
    <w:p w:rsidR="00330E1A" w:rsidRDefault="00330E1A"/>
    <w:p w:rsidR="00330E1A" w:rsidRDefault="004C43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Distribucija opterećenja u ECTS</w:t>
      </w:r>
    </w:p>
    <w:tbl>
      <w:tblPr>
        <w:tblpPr w:leftFromText="180" w:rightFromText="180" w:vertAnchor="text" w:horzAnchor="page" w:tblpX="3463" w:tblpY="1212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3"/>
        <w:gridCol w:w="1891"/>
      </w:tblGrid>
      <w:tr w:rsidR="00330E1A">
        <w:trPr>
          <w:trHeight w:val="417"/>
        </w:trPr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r-BA" w:eastAsia="bs-Latn-BA"/>
              </w:rPr>
              <w:lastRenderedPageBreak/>
              <w:t xml:space="preserve">MEĐUNARODNO FINANSIJSKO PRAVO </w:t>
            </w:r>
          </w:p>
          <w:p w:rsidR="00330E1A" w:rsidRDefault="00330E1A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hr-BA" w:eastAsia="bs-Latn-BA"/>
              </w:rPr>
            </w:pPr>
          </w:p>
        </w:tc>
        <w:tc>
          <w:tcPr>
            <w:tcW w:w="1891" w:type="dxa"/>
          </w:tcPr>
          <w:p w:rsidR="00330E1A" w:rsidRDefault="004C4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BA" w:eastAsia="bs-Latn-BA"/>
              </w:rPr>
              <w:t>ECTS:    3</w:t>
            </w:r>
          </w:p>
        </w:tc>
      </w:tr>
      <w:tr w:rsidR="00330E1A">
        <w:trPr>
          <w:trHeight w:val="264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  <w:t xml:space="preserve">GODINA: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BA" w:eastAsia="bs-Latn-BA"/>
              </w:rPr>
              <w:t>IV (obavezni predmet)</w:t>
            </w:r>
          </w:p>
        </w:tc>
      </w:tr>
      <w:tr w:rsidR="00330E1A">
        <w:trPr>
          <w:trHeight w:val="264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  <w:t xml:space="preserve">SEMESTAR: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BA" w:eastAsia="bs-Latn-BA"/>
              </w:rPr>
              <w:t>VII</w:t>
            </w:r>
          </w:p>
        </w:tc>
      </w:tr>
      <w:tr w:rsidR="00330E1A">
        <w:trPr>
          <w:trHeight w:val="399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hr-BA" w:eastAsia="bs-Latn-BA"/>
              </w:rPr>
              <w:t xml:space="preserve">Nositelji predmeta: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  <w:t xml:space="preserve">Akademsko osoblje birano za naučnu oblast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/>
              </w:rPr>
              <w:t xml:space="preserve"> Finansijsko pravo</w:t>
            </w:r>
          </w:p>
        </w:tc>
      </w:tr>
      <w:tr w:rsidR="00330E1A">
        <w:trPr>
          <w:trHeight w:val="264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  <w:t>KONTAKT SATI</w:t>
            </w:r>
          </w:p>
        </w:tc>
      </w:tr>
      <w:tr w:rsidR="00330E1A">
        <w:trPr>
          <w:trHeight w:val="275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  <w:t>Predavanja:  2/15                        Vježbe: 0/0                                 Konsultacije: 5/75</w:t>
            </w:r>
          </w:p>
        </w:tc>
      </w:tr>
      <w:tr w:rsidR="00330E1A">
        <w:trPr>
          <w:trHeight w:val="68"/>
        </w:trPr>
        <w:tc>
          <w:tcPr>
            <w:tcW w:w="91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0E1A" w:rsidRDefault="004C43CE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 xml:space="preserve">Način vrednovanja i ocjenjivanja </w:t>
            </w:r>
          </w:p>
          <w:tbl>
            <w:tblPr>
              <w:tblW w:w="8882" w:type="dxa"/>
              <w:tblCellSpacing w:w="20" w:type="dxa"/>
              <w:tblInd w:w="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36"/>
              <w:gridCol w:w="3192"/>
              <w:gridCol w:w="2454"/>
            </w:tblGrid>
            <w:tr w:rsidR="00330E1A">
              <w:trPr>
                <w:gridAfter w:val="1"/>
                <w:wAfter w:w="2410" w:type="dxa"/>
                <w:trHeight w:val="231"/>
                <w:tblCellSpacing w:w="20" w:type="dxa"/>
              </w:trPr>
              <w:tc>
                <w:tcPr>
                  <w:tcW w:w="3198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t>Oblici praćenj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c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t xml:space="preserve"> i provjeravanja</w:t>
                  </w:r>
                </w:p>
              </w:tc>
              <w:tc>
                <w:tcPr>
                  <w:tcW w:w="3154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t>Usmeno i pismeno</w:t>
                  </w:r>
                </w:p>
              </w:tc>
            </w:tr>
            <w:tr w:rsidR="00330E1A">
              <w:trPr>
                <w:trHeight w:val="231"/>
                <w:tblCellSpacing w:w="20" w:type="dxa"/>
              </w:trPr>
              <w:tc>
                <w:tcPr>
                  <w:tcW w:w="3198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t xml:space="preserve">Elementi praćenja i provjeravanja </w:t>
                  </w:r>
                </w:p>
              </w:tc>
              <w:tc>
                <w:tcPr>
                  <w:tcW w:w="3174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t>Opterećenje u ECTS</w:t>
                  </w:r>
                </w:p>
              </w:tc>
              <w:tc>
                <w:tcPr>
                  <w:tcW w:w="2350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:rsidR="00330E1A" w:rsidRDefault="004C43CE">
                  <w:pPr>
                    <w:framePr w:hSpace="180" w:wrap="around" w:vAnchor="text" w:hAnchor="page" w:x="3463" w:y="121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s-Latn-BA"/>
                    </w:rPr>
                    <w:t>Udio (%) u ocjeni</w:t>
                  </w:r>
                </w:p>
              </w:tc>
            </w:tr>
            <w:tr w:rsidR="00330E1A">
              <w:trPr>
                <w:trHeight w:val="231"/>
                <w:tblCellSpacing w:w="20" w:type="dxa"/>
              </w:trPr>
              <w:tc>
                <w:tcPr>
                  <w:tcW w:w="3198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Seminarski rad</w:t>
                  </w:r>
                </w:p>
              </w:tc>
              <w:tc>
                <w:tcPr>
                  <w:tcW w:w="3174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0,5</w:t>
                  </w:r>
                </w:p>
              </w:tc>
              <w:tc>
                <w:tcPr>
                  <w:tcW w:w="2350" w:type="dxa"/>
                  <w:shd w:val="clear" w:color="auto" w:fill="auto"/>
                </w:tcPr>
                <w:p w:rsidR="00330E1A" w:rsidRDefault="004C43CE">
                  <w:pPr>
                    <w:framePr w:hSpace="180" w:wrap="around" w:vAnchor="text" w:hAnchor="page" w:x="3463" w:y="121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15%</w:t>
                  </w:r>
                </w:p>
              </w:tc>
            </w:tr>
            <w:tr w:rsidR="00330E1A">
              <w:trPr>
                <w:trHeight w:val="231"/>
                <w:tblCellSpacing w:w="20" w:type="dxa"/>
              </w:trPr>
              <w:tc>
                <w:tcPr>
                  <w:tcW w:w="3198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Parcijalni ispit</w:t>
                  </w:r>
                </w:p>
              </w:tc>
              <w:tc>
                <w:tcPr>
                  <w:tcW w:w="3174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1</w:t>
                  </w:r>
                </w:p>
              </w:tc>
              <w:tc>
                <w:tcPr>
                  <w:tcW w:w="2350" w:type="dxa"/>
                  <w:shd w:val="clear" w:color="auto" w:fill="auto"/>
                </w:tcPr>
                <w:p w:rsidR="00330E1A" w:rsidRDefault="004C43CE">
                  <w:pPr>
                    <w:framePr w:hSpace="180" w:wrap="around" w:vAnchor="text" w:hAnchor="page" w:x="3463" w:y="121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35%</w:t>
                  </w:r>
                </w:p>
              </w:tc>
            </w:tr>
            <w:tr w:rsidR="00330E1A">
              <w:trPr>
                <w:trHeight w:val="231"/>
                <w:tblCellSpacing w:w="20" w:type="dxa"/>
              </w:trPr>
              <w:tc>
                <w:tcPr>
                  <w:tcW w:w="3198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Završna provjera znanja</w:t>
                  </w:r>
                </w:p>
              </w:tc>
              <w:tc>
                <w:tcPr>
                  <w:tcW w:w="3174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1,5</w:t>
                  </w:r>
                </w:p>
              </w:tc>
              <w:tc>
                <w:tcPr>
                  <w:tcW w:w="2350" w:type="dxa"/>
                  <w:shd w:val="clear" w:color="auto" w:fill="auto"/>
                </w:tcPr>
                <w:p w:rsidR="00330E1A" w:rsidRDefault="004C43CE">
                  <w:pPr>
                    <w:framePr w:hSpace="180" w:wrap="around" w:vAnchor="text" w:hAnchor="page" w:x="3463" w:y="121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50%</w:t>
                  </w:r>
                </w:p>
              </w:tc>
            </w:tr>
            <w:tr w:rsidR="00330E1A">
              <w:trPr>
                <w:trHeight w:val="231"/>
                <w:tblCellSpacing w:w="20" w:type="dxa"/>
              </w:trPr>
              <w:tc>
                <w:tcPr>
                  <w:tcW w:w="3198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Ukupno</w:t>
                  </w:r>
                </w:p>
              </w:tc>
              <w:tc>
                <w:tcPr>
                  <w:tcW w:w="3174" w:type="dxa"/>
                  <w:shd w:val="clear" w:color="auto" w:fill="auto"/>
                </w:tcPr>
                <w:p w:rsidR="00330E1A" w:rsidRDefault="004C43CE">
                  <w:pPr>
                    <w:keepNext/>
                    <w:framePr w:hSpace="180" w:wrap="around" w:vAnchor="text" w:hAnchor="page" w:x="3463" w:y="1212"/>
                    <w:spacing w:after="0" w:line="240" w:lineRule="auto"/>
                    <w:jc w:val="both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3</w:t>
                  </w:r>
                </w:p>
              </w:tc>
              <w:tc>
                <w:tcPr>
                  <w:tcW w:w="2350" w:type="dxa"/>
                  <w:shd w:val="clear" w:color="auto" w:fill="auto"/>
                </w:tcPr>
                <w:p w:rsidR="00330E1A" w:rsidRDefault="004C43CE">
                  <w:pPr>
                    <w:framePr w:hSpace="180" w:wrap="around" w:vAnchor="text" w:hAnchor="page" w:x="3463" w:y="1212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bs-Latn-BA"/>
                    </w:rPr>
                    <w:t>100%</w:t>
                  </w:r>
                </w:p>
              </w:tc>
            </w:tr>
          </w:tbl>
          <w:p w:rsidR="00330E1A" w:rsidRDefault="00330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BA" w:eastAsia="bs-Latn-BA"/>
              </w:rPr>
            </w:pPr>
          </w:p>
        </w:tc>
      </w:tr>
      <w:tr w:rsidR="00330E1A">
        <w:trPr>
          <w:trHeight w:val="288"/>
        </w:trPr>
        <w:tc>
          <w:tcPr>
            <w:tcW w:w="9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A" w:rsidRDefault="00330E1A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s-Latn-BA"/>
              </w:rPr>
            </w:pPr>
          </w:p>
        </w:tc>
      </w:tr>
    </w:tbl>
    <w:p w:rsidR="00330E1A" w:rsidRDefault="00330E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jc w:val="both"/>
      </w:pPr>
    </w:p>
    <w:p w:rsidR="00330E1A" w:rsidRDefault="00330E1A"/>
    <w:p w:rsidR="00330E1A" w:rsidRDefault="00330E1A"/>
    <w:p w:rsidR="00330E1A" w:rsidRDefault="00330E1A"/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4C43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Literatura:</w:t>
      </w:r>
    </w:p>
    <w:tbl>
      <w:tblPr>
        <w:tblpPr w:leftFromText="180" w:rightFromText="180" w:vertAnchor="text" w:horzAnchor="page" w:tblpX="3358" w:tblpY="362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620"/>
      </w:tblGrid>
      <w:tr w:rsidR="00330E1A">
        <w:tc>
          <w:tcPr>
            <w:tcW w:w="1668" w:type="dxa"/>
            <w:shd w:val="clear" w:color="auto" w:fill="auto"/>
          </w:tcPr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Međunarodno </w:t>
            </w:r>
            <w:r>
              <w:rPr>
                <w:rFonts w:ascii="Times New Roman" w:hAnsi="Times New Roman" w:cs="Times New Roman"/>
              </w:rPr>
              <w:t>finansijsko pravo</w:t>
            </w:r>
          </w:p>
        </w:tc>
        <w:tc>
          <w:tcPr>
            <w:tcW w:w="7620" w:type="dxa"/>
            <w:shd w:val="clear" w:color="auto" w:fill="auto"/>
          </w:tcPr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Dautbašić Ismet: </w:t>
            </w:r>
            <w:r>
              <w:rPr>
                <w:rFonts w:ascii="Times New Roman" w:hAnsi="Times New Roman" w:cs="Times New Roman"/>
              </w:rPr>
              <w:t>Finansije i finanasijsko pravo</w:t>
            </w:r>
            <w:r>
              <w:rPr>
                <w:rFonts w:ascii="Times New Roman" w:hAnsi="Times New Roman" w:cs="Times New Roman"/>
                <w:bCs/>
              </w:rPr>
              <w:t>, VII- izdanje, Magistrat, Sarajevo, 2004. - poglavlja - međunarodno dvostruko oporezivanje i carine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Paunović Sanja: Uloga Međunarodnog monetarnog fonda u savremenoj ekonomskoj krizi, Savez s</w:t>
            </w:r>
            <w:r>
              <w:rPr>
                <w:rFonts w:ascii="Times New Roman" w:hAnsi="Times New Roman" w:cs="Times New Roman"/>
              </w:rPr>
              <w:t>amostalnih sindikata Srbije, Beograd, 2011. -  odabrana poglavlja.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Ristić Žarko, Ristić Kristijan: </w:t>
            </w:r>
            <w:r>
              <w:rPr>
                <w:rFonts w:ascii="Times New Roman" w:hAnsi="Times New Roman" w:cs="Times New Roman"/>
              </w:rPr>
              <w:t xml:space="preserve">Međunarodne javne finansije i budžetska politika Evropske unije, </w:t>
            </w:r>
            <w:r>
              <w:rPr>
                <w:rFonts w:ascii="Times New Roman" w:hAnsi="Times New Roman" w:cs="Times New Roman"/>
                <w:bCs/>
              </w:rPr>
              <w:t>II-izdanje, Etnostil, Beograd, 2016. - odabrana poglavlja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Issues in International Taxation a</w:t>
            </w:r>
            <w:r>
              <w:rPr>
                <w:rFonts w:ascii="Times New Roman" w:hAnsi="Times New Roman" w:cs="Times New Roman"/>
              </w:rPr>
              <w:t>nd the Role of IMF</w:t>
            </w:r>
            <w:r>
              <w:rPr>
                <w:rFonts w:ascii="Times New Roman" w:hAnsi="Times New Roman" w:cs="Times New Roman"/>
                <w:bCs/>
              </w:rPr>
              <w:t xml:space="preserve"> - executive summary (Keen Michael and Perry Victoria), IMF, 2013.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Lončarić-Horvat Olivera i Arbutina Hrvoje: </w:t>
            </w:r>
            <w:r>
              <w:rPr>
                <w:rFonts w:ascii="Times New Roman" w:hAnsi="Times New Roman" w:cs="Times New Roman"/>
                <w:bCs/>
              </w:rPr>
              <w:t>Osnove međunarodnog poreznog prava</w:t>
            </w:r>
            <w:r>
              <w:rPr>
                <w:rFonts w:ascii="Times New Roman" w:hAnsi="Times New Roman" w:cs="Times New Roman"/>
              </w:rPr>
              <w:t>, Narodne novine, Zagreb, 2007. - odabrana poglavlja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Gnjatović Dragana: </w:t>
            </w:r>
            <w:r>
              <w:rPr>
                <w:rFonts w:ascii="Times New Roman" w:hAnsi="Times New Roman" w:cs="Times New Roman"/>
                <w:bCs/>
                <w:iCs/>
              </w:rPr>
              <w:t>Fiskalna integracija u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Evropskoj uniji</w:t>
            </w:r>
            <w:r>
              <w:rPr>
                <w:rFonts w:ascii="Times New Roman" w:hAnsi="Times New Roman" w:cs="Times New Roman"/>
              </w:rPr>
              <w:t>, u: Bankarstvo, god. 42, br. 5 (2013), str. 14-29.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Mijatović, Nikola: </w:t>
            </w:r>
            <w:r>
              <w:rPr>
                <w:rFonts w:ascii="Times New Roman" w:hAnsi="Times New Roman" w:cs="Times New Roman"/>
                <w:bCs/>
                <w:iCs/>
              </w:rPr>
              <w:t>Usklađivanje poreza pod okriljem Europske unije,</w:t>
            </w:r>
            <w:r>
              <w:rPr>
                <w:rFonts w:ascii="Times New Roman" w:hAnsi="Times New Roman" w:cs="Times New Roman"/>
              </w:rPr>
              <w:t xml:space="preserve"> u: Hrvatska Pravna Revija, 2010; X(3):43-55.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Miletić Vesna: </w:t>
            </w:r>
            <w:r>
              <w:rPr>
                <w:rFonts w:ascii="Times New Roman" w:hAnsi="Times New Roman" w:cs="Times New Roman"/>
                <w:bCs/>
                <w:iCs/>
              </w:rPr>
              <w:t>Promene direktnih i indirektnih poreskih oblika u procesu re</w:t>
            </w:r>
            <w:r>
              <w:rPr>
                <w:rFonts w:ascii="Times New Roman" w:hAnsi="Times New Roman" w:cs="Times New Roman"/>
                <w:bCs/>
                <w:iCs/>
              </w:rPr>
              <w:t>formi finansijskog sistema Evropske unije,</w:t>
            </w:r>
            <w:r>
              <w:rPr>
                <w:rFonts w:ascii="Times New Roman" w:hAnsi="Times New Roman" w:cs="Times New Roman"/>
              </w:rPr>
              <w:t xml:space="preserve"> u:_Megatrend revija, Vol. 12, no. 1 (2015), str. 85-103. </w:t>
            </w:r>
          </w:p>
          <w:p w:rsidR="00330E1A" w:rsidRDefault="004C43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Šimović J., Šimović H.: </w:t>
            </w:r>
            <w:r>
              <w:rPr>
                <w:rFonts w:ascii="Times New Roman" w:hAnsi="Times New Roman" w:cs="Times New Roman"/>
                <w:bCs/>
              </w:rPr>
              <w:t>Fiskalni sustav i fiskalna politika Europske unije</w:t>
            </w:r>
            <w:r>
              <w:rPr>
                <w:rFonts w:ascii="Times New Roman" w:hAnsi="Times New Roman" w:cs="Times New Roman"/>
              </w:rPr>
              <w:t>, Pravni fakultet Sveučilišta u Zagrebu, Zagreb, 2006. - odabrana poglavlja</w:t>
            </w:r>
          </w:p>
        </w:tc>
      </w:tr>
    </w:tbl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330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30E1A" w:rsidRDefault="004C43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Izvedbeni plan</w:t>
      </w:r>
    </w:p>
    <w:p w:rsidR="00330E1A" w:rsidRDefault="004C43C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i/>
          <w:sz w:val="24"/>
          <w:szCs w:val="24"/>
        </w:rPr>
        <w:t>IV godina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br/>
        <w:t>Međunarodno finansijsko pravo – obavezni predmet</w:t>
      </w:r>
      <w:r>
        <w:rPr>
          <w:rFonts w:ascii="Cambria" w:eastAsia="Times New Roman" w:hAnsi="Cambria" w:cs="Times New Roman"/>
          <w:b/>
          <w:i/>
          <w:sz w:val="24"/>
          <w:szCs w:val="24"/>
        </w:rPr>
        <w:t xml:space="preserve"> akademska 2019-2020 godina</w:t>
      </w:r>
    </w:p>
    <w:tbl>
      <w:tblPr>
        <w:tblpPr w:leftFromText="180" w:rightFromText="180" w:vertAnchor="text" w:horzAnchor="page" w:tblpX="3328" w:tblpY="1868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096"/>
        <w:gridCol w:w="2126"/>
      </w:tblGrid>
      <w:tr w:rsidR="00330E1A">
        <w:trPr>
          <w:trHeight w:val="96"/>
        </w:trPr>
        <w:tc>
          <w:tcPr>
            <w:tcW w:w="1701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lastRenderedPageBreak/>
              <w:t>Semestralna sedmica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Teme</w:t>
            </w:r>
          </w:p>
        </w:tc>
        <w:tc>
          <w:tcPr>
            <w:tcW w:w="2126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Broj časova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  <w:t>Uvodno predavanje, upoznavanje sa načinom rada, načinom ocjenjivanja, nastavnim sadržajem, predmetom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  <w:t xml:space="preserve"> izučavanja Međunarodnog finansijskog prava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102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II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  <w:t>Pojam, nastanak i historijski razvoj finansijskog i međunarodnog finansijskog prava; Međunarodni finansijski tokovi i odnosi.Izvori međunarodnog finansijskog prava; Odnos međunarodnog finansijskog prava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  <w:t xml:space="preserve"> sa drugim granama prava;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 xml:space="preserve"> Principi međunarodnog finansijskog prava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III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Međunarodno dvostruko oporezivanje i njegovo izbjegavanje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IV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Porezi u međunarodnom finansijskom pravu – porezna konkurencija I harmonizacija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V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Harmonizacija poreza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 xml:space="preserve"> u Evropskoj uniji</w:t>
            </w:r>
          </w:p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Harmonizacija direktnih poreza</w:t>
            </w:r>
          </w:p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Harmonizacija indirektnih poreza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VI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bs-Latn-BA"/>
              </w:rPr>
              <w:t>Carine u međunarodnom finansijskom pravu;</w:t>
            </w:r>
          </w:p>
          <w:p w:rsidR="00330E1A" w:rsidRDefault="004C43C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 xml:space="preserve">Pripreme za parcijalni ispit 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eastAsia="bs-Latn-BA"/>
              </w:rPr>
              <w:t>VII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 xml:space="preserve">I parcijalni ispit 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VIII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Evropski monetarni sistem EMU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IX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ECB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 xml:space="preserve"> i 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 xml:space="preserve"> Euro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X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Kriteriji ekonomske konvergencije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XI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Međunarodni monetarni sistem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XII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Međunaodni monetarni fond</w:t>
            </w:r>
          </w:p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(osnivanje, statut, ciljevi, članstvo, djelokrug, instrumenti, saradnja)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XIII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Grupacija svjetske banke</w:t>
            </w:r>
          </w:p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(osnivanje afilijacija,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 xml:space="preserve"> statut, ciljevi, članstvo, djelokrug, instrumenti, saradnja)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96"/>
        </w:trPr>
        <w:tc>
          <w:tcPr>
            <w:tcW w:w="1701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  <w:t>XIV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Regionalne finansijske institucije</w:t>
            </w:r>
          </w:p>
        </w:tc>
        <w:tc>
          <w:tcPr>
            <w:tcW w:w="2126" w:type="dxa"/>
          </w:tcPr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  <w:tr w:rsidR="00330E1A">
        <w:trPr>
          <w:trHeight w:val="102"/>
        </w:trPr>
        <w:tc>
          <w:tcPr>
            <w:tcW w:w="1701" w:type="dxa"/>
          </w:tcPr>
          <w:p w:rsidR="00330E1A" w:rsidRDefault="00330E1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u w:val="single"/>
                <w:lang w:eastAsia="bs-Latn-BA"/>
              </w:rPr>
              <w:t>XV</w:t>
            </w:r>
          </w:p>
        </w:tc>
        <w:tc>
          <w:tcPr>
            <w:tcW w:w="6096" w:type="dxa"/>
          </w:tcPr>
          <w:p w:rsidR="00330E1A" w:rsidRDefault="004C43CE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  <w:lang w:eastAsia="bs-Latn-BA"/>
              </w:rPr>
              <w:t>Završna evaluacija znanja</w:t>
            </w:r>
            <w:r>
              <w:rPr>
                <w:rFonts w:ascii="Cambria" w:eastAsia="Times New Roman" w:hAnsi="Cambria" w:cs="Times New Roman"/>
                <w:bCs/>
                <w:sz w:val="24"/>
                <w:szCs w:val="24"/>
              </w:rPr>
              <w:t xml:space="preserve"> </w:t>
            </w:r>
          </w:p>
          <w:p w:rsidR="00330E1A" w:rsidRDefault="004C43CE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Cs/>
                <w:sz w:val="24"/>
                <w:szCs w:val="24"/>
                <w:lang w:eastAsia="bs-Latn-BA"/>
              </w:rPr>
              <w:t>II parcijalni ispit za studente koji su položili I parcijalni ispit</w:t>
            </w:r>
          </w:p>
        </w:tc>
        <w:tc>
          <w:tcPr>
            <w:tcW w:w="2126" w:type="dxa"/>
          </w:tcPr>
          <w:p w:rsidR="00330E1A" w:rsidRDefault="00330E1A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</w:p>
          <w:p w:rsidR="00330E1A" w:rsidRDefault="004C43CE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bs-Latn-B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val="en-US" w:eastAsia="bs-Latn-BA"/>
              </w:rPr>
              <w:t>2+0</w:t>
            </w:r>
          </w:p>
        </w:tc>
      </w:tr>
    </w:tbl>
    <w:p w:rsidR="00330E1A" w:rsidRDefault="00330E1A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330E1A" w:rsidRDefault="00330E1A">
      <w:pPr>
        <w:spacing w:after="0" w:line="240" w:lineRule="auto"/>
        <w:rPr>
          <w:rFonts w:ascii="Cambria" w:eastAsia="Times New Roman" w:hAnsi="Cambria" w:cs="Times New Roman"/>
          <w:b/>
          <w:i/>
          <w:sz w:val="24"/>
          <w:szCs w:val="24"/>
        </w:rPr>
      </w:pPr>
    </w:p>
    <w:p w:rsidR="00330E1A" w:rsidRDefault="00330E1A"/>
    <w:p w:rsidR="00330E1A" w:rsidRDefault="00330E1A"/>
    <w:p w:rsidR="00330E1A" w:rsidRDefault="00330E1A"/>
    <w:sectPr w:rsidR="00330E1A">
      <w:footerReference w:type="even" r:id="rId8"/>
      <w:footerReference w:type="default" r:id="rId9"/>
      <w:pgSz w:w="16838" w:h="11906" w:orient="landscape"/>
      <w:pgMar w:top="851" w:right="1242" w:bottom="1418" w:left="851" w:header="624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43CE">
      <w:pPr>
        <w:spacing w:after="0" w:line="240" w:lineRule="auto"/>
      </w:pPr>
      <w:r>
        <w:separator/>
      </w:r>
    </w:p>
  </w:endnote>
  <w:endnote w:type="continuationSeparator" w:id="0">
    <w:p w:rsidR="00000000" w:rsidRDefault="004C4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E1A" w:rsidRDefault="004C43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 w:rsidR="00330E1A" w:rsidRDefault="00330E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E1A" w:rsidRDefault="004C43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30E1A" w:rsidRDefault="00330E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43CE">
      <w:pPr>
        <w:spacing w:after="0" w:line="240" w:lineRule="auto"/>
      </w:pPr>
      <w:r>
        <w:separator/>
      </w:r>
    </w:p>
  </w:footnote>
  <w:footnote w:type="continuationSeparator" w:id="0">
    <w:p w:rsidR="00000000" w:rsidRDefault="004C43CE">
      <w:pPr>
        <w:spacing w:after="0" w:line="240" w:lineRule="auto"/>
      </w:pPr>
      <w:r>
        <w:continuationSeparator/>
      </w:r>
    </w:p>
  </w:footnote>
  <w:footnote w:id="1">
    <w:p w:rsidR="00330E1A" w:rsidRDefault="004C43CE">
      <w:pPr>
        <w:pStyle w:val="FootnoteText"/>
      </w:pPr>
      <w:r>
        <w:rPr>
          <w:rStyle w:val="FootnoteReference"/>
        </w:rPr>
        <w:footnoteRef/>
      </w:r>
      <w:r>
        <w:t xml:space="preserve"> Student/ica ostvaruje najmanje 50 ℅ bodova tokom semestra.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F0398"/>
    <w:multiLevelType w:val="multilevel"/>
    <w:tmpl w:val="00EF039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338EB"/>
    <w:multiLevelType w:val="multilevel"/>
    <w:tmpl w:val="116338EB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F1DE6"/>
    <w:multiLevelType w:val="multilevel"/>
    <w:tmpl w:val="480F1DE6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02"/>
    <w:rsid w:val="00286774"/>
    <w:rsid w:val="00330E1A"/>
    <w:rsid w:val="003948DE"/>
    <w:rsid w:val="004C43CE"/>
    <w:rsid w:val="005166E2"/>
    <w:rsid w:val="00543A33"/>
    <w:rsid w:val="00571B07"/>
    <w:rsid w:val="00714458"/>
    <w:rsid w:val="008F4074"/>
    <w:rsid w:val="00A96CFA"/>
    <w:rsid w:val="00CF30C5"/>
    <w:rsid w:val="00DB7C6A"/>
    <w:rsid w:val="00E44602"/>
    <w:rsid w:val="01921294"/>
    <w:rsid w:val="05EE0A84"/>
    <w:rsid w:val="175537A3"/>
    <w:rsid w:val="296A58DB"/>
    <w:rsid w:val="2AD709C9"/>
    <w:rsid w:val="34C51788"/>
    <w:rsid w:val="355328FA"/>
    <w:rsid w:val="4EBC742B"/>
    <w:rsid w:val="4EC3715C"/>
    <w:rsid w:val="541616AB"/>
    <w:rsid w:val="57D84917"/>
    <w:rsid w:val="5DC17E91"/>
    <w:rsid w:val="63B2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6423A2-314C-4BF1-94CB-5FC6FDC57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semiHidden/>
    <w:qFormat/>
  </w:style>
  <w:style w:type="character" w:customStyle="1" w:styleId="FootnoteTextChar">
    <w:name w:val="Footnote Text Char"/>
    <w:basedOn w:val="DefaultParagraphFont"/>
    <w:link w:val="FootnoteText"/>
    <w:semiHidden/>
    <w:qFormat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customStyle="1" w:styleId="PlainTable41">
    <w:name w:val="Plain Table 41"/>
    <w:basedOn w:val="TableNormal"/>
    <w:uiPriority w:val="44"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Edina</dc:creator>
  <cp:lastModifiedBy>Edina Sudzuka</cp:lastModifiedBy>
  <cp:revision>2</cp:revision>
  <dcterms:created xsi:type="dcterms:W3CDTF">2019-11-15T14:44:00Z</dcterms:created>
  <dcterms:modified xsi:type="dcterms:W3CDTF">2019-11-15T14:44:00Z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