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 ciklus studija: Pravno-ekonomski smjer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Izvod iz Syllabusa Porezno pravo i porezni sistem – obavezni predmet </w:t>
      </w:r>
    </w:p>
    <w:p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</w:rPr>
        <w:t xml:space="preserve">ljetni semestar </w:t>
      </w:r>
      <w:r>
        <w:rPr>
          <w:rFonts w:ascii="Times New Roman" w:hAnsi="Times New Roman" w:cs="Times New Roman"/>
          <w:lang w:val="en-US"/>
        </w:rPr>
        <w:t>2018/19</w:t>
      </w:r>
    </w:p>
    <w:tbl>
      <w:tblPr>
        <w:tblStyle w:val="4"/>
        <w:tblpPr w:leftFromText="180" w:rightFromText="180" w:vertAnchor="text" w:horzAnchor="margin" w:tblpY="192"/>
        <w:tblW w:w="90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24"/>
        <w:gridCol w:w="10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/>
              <w:outlineLvl w:val="0"/>
              <w:rPr>
                <w:rFonts w:ascii="Cambria" w:hAnsi="Cambria"/>
                <w:b/>
                <w:i/>
                <w:lang w:val="hr-BA"/>
              </w:rPr>
            </w:pPr>
            <w:r>
              <w:rPr>
                <w:rFonts w:ascii="Cambria" w:hAnsi="Cambria"/>
                <w:b/>
              </w:rPr>
              <w:t xml:space="preserve">POREZNO PRAVO I POREZNI SISTEM </w:t>
            </w:r>
          </w:p>
        </w:tc>
        <w:tc>
          <w:tcPr>
            <w:tcW w:w="1038" w:type="dxa"/>
            <w:vAlign w:val="top"/>
          </w:tcPr>
          <w:p>
            <w:pPr>
              <w:rPr>
                <w:rFonts w:ascii="Cambria" w:hAnsi="Cambria"/>
                <w:b/>
                <w:lang w:val="hr-BA" w:eastAsia="en-US"/>
              </w:rPr>
            </w:pPr>
            <w:r>
              <w:rPr>
                <w:rFonts w:ascii="Cambria" w:hAnsi="Cambria"/>
                <w:b/>
                <w:lang w:val="hr-BA" w:eastAsia="en-US"/>
              </w:rPr>
              <w:t>ECTS: 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Cambria" w:hAnsi="Cambria"/>
                <w:lang w:val="hr-BA" w:eastAsia="en-US"/>
              </w:rPr>
            </w:pPr>
            <w:r>
              <w:rPr>
                <w:rFonts w:ascii="Cambria" w:hAnsi="Cambria"/>
                <w:lang w:val="hr-BA" w:eastAsia="en-US"/>
              </w:rPr>
              <w:t xml:space="preserve">GODINA: </w:t>
            </w:r>
            <w:r>
              <w:rPr>
                <w:rFonts w:ascii="Cambria" w:hAnsi="Cambria"/>
                <w:i/>
                <w:lang w:val="hr-BA" w:eastAsia="en-US"/>
              </w:rPr>
              <w:t>I (obavezni predmet)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rFonts w:ascii="Cambria" w:hAnsi="Cambria"/>
                <w:lang w:val="hr-BA" w:eastAsia="en-US"/>
              </w:rPr>
            </w:pPr>
            <w:r>
              <w:rPr>
                <w:rFonts w:ascii="Cambria" w:hAnsi="Cambria"/>
                <w:lang w:val="hr-BA" w:eastAsia="en-US"/>
              </w:rPr>
              <w:t xml:space="preserve">SEMESTAR: </w:t>
            </w:r>
            <w:r>
              <w:rPr>
                <w:rFonts w:ascii="Cambria" w:hAnsi="Cambria"/>
                <w:i/>
                <w:lang w:val="hr-BA" w:eastAsia="en-US"/>
              </w:rPr>
              <w:t>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both"/>
              <w:rPr>
                <w:rFonts w:ascii="Cambria" w:hAnsi="Cambria"/>
                <w:lang w:val="en-US" w:eastAsia="en-US"/>
              </w:rPr>
            </w:pPr>
            <w:r>
              <w:rPr>
                <w:rFonts w:ascii="Cambria" w:hAnsi="Cambria"/>
                <w:i/>
                <w:lang w:val="hr-BA" w:eastAsia="en-US"/>
              </w:rPr>
              <w:t>Nositelji predmeta:</w:t>
            </w:r>
            <w:r>
              <w:rPr>
                <w:rFonts w:ascii="Cambria" w:hAnsi="Cambria"/>
                <w:i/>
                <w:lang w:val="en-US" w:eastAsia="en-US"/>
              </w:rPr>
              <w:t xml:space="preserve"> Doc. dr. Edina Sudžuka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ascii="Cambria" w:hAnsi="Cambria"/>
                <w:lang w:val="hr-BA" w:eastAsia="en-US"/>
              </w:rPr>
            </w:pPr>
            <w:r>
              <w:rPr>
                <w:rFonts w:ascii="Cambria" w:hAnsi="Cambria"/>
                <w:lang w:val="hr-BA" w:eastAsia="en-US"/>
              </w:rPr>
              <w:t>KONTAKT SATI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both"/>
              <w:rPr>
                <w:rFonts w:ascii="Cambria" w:hAnsi="Cambria"/>
                <w:lang w:val="hr-BA" w:eastAsia="en-US"/>
              </w:rPr>
            </w:pPr>
            <w:r>
              <w:rPr>
                <w:rFonts w:ascii="Cambria" w:hAnsi="Cambria"/>
                <w:lang w:val="hr-BA" w:eastAsia="en-US"/>
              </w:rPr>
              <w:t>Predavanja: 2/15                         Vježbe: 0/0                            Konsultacije: 5/75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keepNext/>
              <w:outlineLvl w:val="2"/>
              <w:rPr>
                <w:rFonts w:ascii="Cambria" w:hAnsi="Cambria"/>
                <w:bCs/>
                <w:szCs w:val="20"/>
                <w:lang w:eastAsia="en-US"/>
              </w:rPr>
            </w:pPr>
            <w:r>
              <w:rPr>
                <w:rFonts w:ascii="Cambria" w:hAnsi="Cambria"/>
                <w:bCs/>
                <w:szCs w:val="20"/>
                <w:lang w:eastAsia="en-US"/>
              </w:rPr>
              <w:t xml:space="preserve">Postojeći nastavni plan i program se dopunjuje rubrikom </w:t>
            </w:r>
          </w:p>
          <w:p>
            <w:pPr>
              <w:keepNext/>
              <w:outlineLvl w:val="2"/>
              <w:rPr>
                <w:rFonts w:ascii="Cambria" w:hAnsi="Cambria"/>
                <w:b/>
                <w:bCs/>
                <w:szCs w:val="20"/>
                <w:lang w:eastAsia="en-US"/>
              </w:rPr>
            </w:pPr>
          </w:p>
          <w:p>
            <w:pPr>
              <w:keepNext/>
              <w:outlineLvl w:val="2"/>
              <w:rPr>
                <w:rFonts w:ascii="Cambria" w:hAnsi="Cambria"/>
                <w:b/>
                <w:bCs/>
                <w:szCs w:val="20"/>
                <w:lang w:eastAsia="en-US"/>
              </w:rPr>
            </w:pPr>
            <w:r>
              <w:rPr>
                <w:rFonts w:ascii="Cambria" w:hAnsi="Cambria"/>
                <w:b/>
                <w:bCs/>
                <w:szCs w:val="20"/>
                <w:lang w:eastAsia="en-US"/>
              </w:rPr>
              <w:t xml:space="preserve">Način vrednovanja i ocjenjivanja </w:t>
            </w:r>
          </w:p>
          <w:tbl>
            <w:tblPr>
              <w:tblStyle w:val="4"/>
              <w:tblW w:w="8830" w:type="dxa"/>
              <w:tblCellSpacing w:w="20" w:type="dxa"/>
              <w:tblInd w:w="1" w:type="dxa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  <w:insideH w:val="outset" w:color="auto" w:sz="6" w:space="0"/>
                <w:insideV w:val="outset" w:color="auto" w:sz="6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240"/>
              <w:gridCol w:w="3195"/>
              <w:gridCol w:w="2395"/>
            </w:tblGrid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gridAfter w:val="1"/>
                <w:wAfter w:w="2395" w:type="dxa"/>
                <w:trHeight w:val="564" w:hRule="atLeast"/>
                <w:tblCellSpacing w:w="20" w:type="dxa"/>
              </w:trPr>
              <w:tc>
                <w:tcPr>
                  <w:tcW w:w="3180" w:type="dxa"/>
                  <w:tcBorders>
                    <w:bottom w:val="single" w:color="auto" w:sz="4" w:space="0"/>
                  </w:tcBorders>
                  <w:shd w:val="clear" w:color="auto" w:fill="F2F2F2"/>
                  <w:vAlign w:val="top"/>
                </w:tcPr>
                <w:p>
                  <w:pPr>
                    <w:keepNext/>
                    <w:outlineLvl w:val="2"/>
                    <w:rPr>
                      <w:rFonts w:ascii="Cambria" w:hAnsi="Cambria"/>
                      <w:b/>
                      <w:bCs/>
                      <w:szCs w:val="20"/>
                      <w:lang w:eastAsia="en-US"/>
                    </w:rPr>
                  </w:pPr>
                  <w:r>
                    <w:rPr>
                      <w:rFonts w:ascii="Cambria" w:hAnsi="Cambria"/>
                      <w:b/>
                      <w:bCs/>
                      <w:szCs w:val="20"/>
                      <w:lang w:eastAsia="en-US"/>
                    </w:rPr>
                    <w:t>Oblici praćenja i provjeravanja</w:t>
                  </w:r>
                </w:p>
              </w:tc>
              <w:tc>
                <w:tcPr>
                  <w:tcW w:w="3135" w:type="dxa"/>
                  <w:vAlign w:val="top"/>
                </w:tcPr>
                <w:p>
                  <w:pPr>
                    <w:keepNext/>
                    <w:outlineLvl w:val="2"/>
                    <w:rPr>
                      <w:rFonts w:ascii="Cambria" w:hAnsi="Cambria"/>
                      <w:b/>
                      <w:bCs/>
                      <w:szCs w:val="20"/>
                      <w:lang w:eastAsia="en-US"/>
                    </w:rPr>
                  </w:pPr>
                  <w:r>
                    <w:rPr>
                      <w:rFonts w:ascii="Cambria" w:hAnsi="Cambria"/>
                      <w:b/>
                      <w:bCs/>
                      <w:szCs w:val="20"/>
                      <w:lang w:eastAsia="en-US"/>
                    </w:rPr>
                    <w:t>U</w:t>
                  </w:r>
                  <w:r>
                    <w:rPr>
                      <w:rFonts w:ascii="Cambria" w:hAnsi="Cambria"/>
                      <w:b/>
                      <w:bCs/>
                      <w:szCs w:val="20"/>
                      <w:lang w:val="en-US" w:eastAsia="en-US"/>
                    </w:rPr>
                    <w:t>s</w:t>
                  </w:r>
                  <w:r>
                    <w:rPr>
                      <w:rFonts w:ascii="Cambria" w:hAnsi="Cambria"/>
                      <w:b/>
                      <w:bCs/>
                      <w:szCs w:val="20"/>
                      <w:lang w:eastAsia="en-US"/>
                    </w:rPr>
                    <w:t>meno i pismeno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4" w:hRule="atLeast"/>
                <w:tblCellSpacing w:w="20" w:type="dxa"/>
              </w:trPr>
              <w:tc>
                <w:tcPr>
                  <w:tcW w:w="3180" w:type="dxa"/>
                  <w:tcBorders>
                    <w:bottom w:val="single" w:color="auto" w:sz="4" w:space="0"/>
                  </w:tcBorders>
                  <w:shd w:val="clear" w:color="auto" w:fill="F2F2F2"/>
                  <w:vAlign w:val="top"/>
                </w:tcPr>
                <w:p>
                  <w:pPr>
                    <w:keepNext/>
                    <w:outlineLvl w:val="2"/>
                    <w:rPr>
                      <w:rFonts w:ascii="Cambria" w:hAnsi="Cambria"/>
                      <w:b/>
                      <w:bCs/>
                      <w:szCs w:val="20"/>
                      <w:lang w:eastAsia="en-US"/>
                    </w:rPr>
                  </w:pPr>
                  <w:r>
                    <w:rPr>
                      <w:rFonts w:ascii="Cambria" w:hAnsi="Cambria"/>
                      <w:b/>
                      <w:bCs/>
                      <w:szCs w:val="20"/>
                      <w:lang w:eastAsia="en-US"/>
                    </w:rPr>
                    <w:t xml:space="preserve">Elementi praćenja i provjeravanja </w:t>
                  </w:r>
                </w:p>
              </w:tc>
              <w:tc>
                <w:tcPr>
                  <w:tcW w:w="3155" w:type="dxa"/>
                  <w:tcBorders>
                    <w:bottom w:val="single" w:color="auto" w:sz="4" w:space="0"/>
                  </w:tcBorders>
                  <w:shd w:val="clear" w:color="auto" w:fill="F2F2F2"/>
                  <w:vAlign w:val="top"/>
                </w:tcPr>
                <w:p>
                  <w:pPr>
                    <w:keepNext/>
                    <w:outlineLvl w:val="2"/>
                    <w:rPr>
                      <w:rFonts w:ascii="Cambria" w:hAnsi="Cambria"/>
                      <w:b/>
                      <w:bCs/>
                      <w:szCs w:val="20"/>
                      <w:lang w:eastAsia="en-US"/>
                    </w:rPr>
                  </w:pPr>
                  <w:r>
                    <w:rPr>
                      <w:rFonts w:ascii="Cambria" w:hAnsi="Cambria"/>
                      <w:b/>
                      <w:bCs/>
                      <w:szCs w:val="20"/>
                      <w:lang w:eastAsia="en-US"/>
                    </w:rPr>
                    <w:t>Opterećenje u ECTS</w:t>
                  </w:r>
                </w:p>
              </w:tc>
              <w:tc>
                <w:tcPr>
                  <w:tcW w:w="2335" w:type="dxa"/>
                  <w:tcBorders>
                    <w:bottom w:val="single" w:color="auto" w:sz="4" w:space="0"/>
                  </w:tcBorders>
                  <w:shd w:val="clear" w:color="auto" w:fill="F2F2F2"/>
                  <w:vAlign w:val="top"/>
                </w:tcPr>
                <w:p>
                  <w:pPr>
                    <w:rPr>
                      <w:rFonts w:ascii="Cambria" w:hAnsi="Cambria"/>
                      <w:b/>
                      <w:bCs/>
                      <w:szCs w:val="20"/>
                      <w:lang w:eastAsia="en-US"/>
                    </w:rPr>
                  </w:pPr>
                  <w:r>
                    <w:rPr>
                      <w:rFonts w:ascii="Cambria" w:hAnsi="Cambria"/>
                      <w:b/>
                      <w:bCs/>
                      <w:szCs w:val="20"/>
                      <w:lang w:eastAsia="en-US"/>
                    </w:rPr>
                    <w:t>Udio (%) u ocjeni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4" w:hRule="atLeast"/>
                <w:tblCellSpacing w:w="20" w:type="dxa"/>
              </w:trPr>
              <w:tc>
                <w:tcPr>
                  <w:tcW w:w="3180" w:type="dxa"/>
                  <w:vAlign w:val="top"/>
                </w:tcPr>
                <w:p>
                  <w:pPr>
                    <w:keepNext/>
                    <w:outlineLvl w:val="2"/>
                    <w:rPr>
                      <w:rFonts w:ascii="Cambria" w:hAnsi="Cambria"/>
                      <w:b/>
                      <w:bCs/>
                      <w:szCs w:val="20"/>
                      <w:lang w:eastAsia="en-US"/>
                    </w:rPr>
                  </w:pPr>
                  <w:r>
                    <w:rPr>
                      <w:rFonts w:ascii="Cambria" w:hAnsi="Cambria"/>
                      <w:b/>
                      <w:bCs/>
                      <w:szCs w:val="20"/>
                      <w:lang w:eastAsia="en-US"/>
                    </w:rPr>
                    <w:t>Izrada i prezentacija seminarskog rada</w:t>
                  </w:r>
                </w:p>
              </w:tc>
              <w:tc>
                <w:tcPr>
                  <w:tcW w:w="3155" w:type="dxa"/>
                  <w:vAlign w:val="top"/>
                </w:tcPr>
                <w:p>
                  <w:pPr>
                    <w:keepNext/>
                    <w:outlineLvl w:val="2"/>
                    <w:rPr>
                      <w:rFonts w:ascii="Cambria" w:hAnsi="Cambria"/>
                      <w:b/>
                      <w:bCs/>
                      <w:szCs w:val="20"/>
                      <w:lang w:eastAsia="en-US"/>
                    </w:rPr>
                  </w:pPr>
                  <w:r>
                    <w:rPr>
                      <w:rFonts w:ascii="Cambria" w:hAnsi="Cambria"/>
                      <w:b/>
                      <w:bCs/>
                      <w:szCs w:val="20"/>
                      <w:lang w:eastAsia="en-US"/>
                    </w:rPr>
                    <w:t>2</w:t>
                  </w:r>
                </w:p>
              </w:tc>
              <w:tc>
                <w:tcPr>
                  <w:tcW w:w="2335" w:type="dxa"/>
                  <w:vAlign w:val="top"/>
                </w:tcPr>
                <w:p>
                  <w:pPr>
                    <w:rPr>
                      <w:rFonts w:ascii="Cambria" w:hAnsi="Cambria"/>
                      <w:b/>
                      <w:bCs/>
                      <w:szCs w:val="20"/>
                      <w:lang w:eastAsia="en-US"/>
                    </w:rPr>
                  </w:pPr>
                  <w:r>
                    <w:rPr>
                      <w:rFonts w:ascii="Cambria" w:hAnsi="Cambria"/>
                      <w:b/>
                      <w:bCs/>
                      <w:szCs w:val="20"/>
                      <w:lang w:eastAsia="en-US"/>
                    </w:rPr>
                    <w:t>2</w:t>
                  </w:r>
                  <w:r>
                    <w:rPr>
                      <w:rFonts w:ascii="Cambria" w:hAnsi="Cambria"/>
                      <w:b/>
                      <w:bCs/>
                      <w:szCs w:val="20"/>
                      <w:lang w:val="en-US" w:eastAsia="en-US"/>
                    </w:rPr>
                    <w:t>0</w:t>
                  </w:r>
                  <w:r>
                    <w:rPr>
                      <w:rFonts w:ascii="Cambria" w:hAnsi="Cambria"/>
                      <w:b/>
                      <w:bCs/>
                      <w:szCs w:val="20"/>
                      <w:lang w:eastAsia="en-US"/>
                    </w:rPr>
                    <w:t>%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4" w:hRule="atLeast"/>
                <w:tblCellSpacing w:w="20" w:type="dxa"/>
              </w:trPr>
              <w:tc>
                <w:tcPr>
                  <w:tcW w:w="3180" w:type="dxa"/>
                  <w:vAlign w:val="top"/>
                </w:tcPr>
                <w:p>
                  <w:pPr>
                    <w:keepNext/>
                    <w:outlineLvl w:val="2"/>
                    <w:rPr>
                      <w:rFonts w:ascii="Cambria" w:hAnsi="Cambria"/>
                      <w:b/>
                      <w:bCs/>
                      <w:szCs w:val="20"/>
                      <w:lang w:eastAsia="en-US"/>
                    </w:rPr>
                  </w:pPr>
                  <w:r>
                    <w:rPr>
                      <w:rFonts w:ascii="Cambria" w:hAnsi="Cambria"/>
                      <w:b/>
                      <w:bCs/>
                      <w:szCs w:val="20"/>
                      <w:lang w:eastAsia="en-US"/>
                    </w:rPr>
                    <w:t>I parcijalni ispit</w:t>
                  </w:r>
                </w:p>
              </w:tc>
              <w:tc>
                <w:tcPr>
                  <w:tcW w:w="3155" w:type="dxa"/>
                  <w:vAlign w:val="top"/>
                </w:tcPr>
                <w:p>
                  <w:pPr>
                    <w:keepNext/>
                    <w:outlineLvl w:val="2"/>
                    <w:rPr>
                      <w:rFonts w:ascii="Cambria" w:hAnsi="Cambria"/>
                      <w:b/>
                      <w:bCs/>
                      <w:szCs w:val="20"/>
                      <w:lang w:eastAsia="en-US"/>
                    </w:rPr>
                  </w:pPr>
                  <w:r>
                    <w:rPr>
                      <w:rFonts w:ascii="Cambria" w:hAnsi="Cambria"/>
                      <w:b/>
                      <w:bCs/>
                      <w:szCs w:val="20"/>
                      <w:lang w:eastAsia="en-US"/>
                    </w:rPr>
                    <w:t>3</w:t>
                  </w:r>
                </w:p>
              </w:tc>
              <w:tc>
                <w:tcPr>
                  <w:tcW w:w="2335" w:type="dxa"/>
                  <w:vAlign w:val="top"/>
                </w:tcPr>
                <w:p>
                  <w:pPr>
                    <w:rPr>
                      <w:rFonts w:ascii="Cambria" w:hAnsi="Cambria"/>
                      <w:b/>
                      <w:bCs/>
                      <w:szCs w:val="20"/>
                      <w:lang w:eastAsia="en-US"/>
                    </w:rPr>
                  </w:pPr>
                  <w:r>
                    <w:rPr>
                      <w:rFonts w:ascii="Cambria" w:hAnsi="Cambria"/>
                      <w:b/>
                      <w:bCs/>
                      <w:szCs w:val="20"/>
                      <w:lang w:eastAsia="en-US"/>
                    </w:rPr>
                    <w:t>30%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64" w:hRule="atLeast"/>
                <w:tblCellSpacing w:w="20" w:type="dxa"/>
              </w:trPr>
              <w:tc>
                <w:tcPr>
                  <w:tcW w:w="3180" w:type="dxa"/>
                  <w:vAlign w:val="top"/>
                </w:tcPr>
                <w:p>
                  <w:pPr>
                    <w:keepNext/>
                    <w:outlineLvl w:val="2"/>
                    <w:rPr>
                      <w:rFonts w:ascii="Cambria" w:hAnsi="Cambria"/>
                      <w:b/>
                      <w:bCs/>
                      <w:szCs w:val="20"/>
                      <w:lang w:eastAsia="en-US"/>
                    </w:rPr>
                  </w:pPr>
                  <w:r>
                    <w:rPr>
                      <w:rFonts w:ascii="Cambria" w:hAnsi="Cambria"/>
                      <w:b/>
                      <w:bCs/>
                      <w:szCs w:val="20"/>
                      <w:lang w:eastAsia="en-US"/>
                    </w:rPr>
                    <w:t>Završna  provjera znanja</w:t>
                  </w:r>
                </w:p>
              </w:tc>
              <w:tc>
                <w:tcPr>
                  <w:tcW w:w="3155" w:type="dxa"/>
                  <w:vAlign w:val="top"/>
                </w:tcPr>
                <w:p>
                  <w:pPr>
                    <w:keepNext/>
                    <w:outlineLvl w:val="2"/>
                    <w:rPr>
                      <w:rFonts w:ascii="Cambria" w:hAnsi="Cambria"/>
                      <w:b/>
                      <w:bCs/>
                      <w:szCs w:val="20"/>
                      <w:lang w:eastAsia="en-US"/>
                    </w:rPr>
                  </w:pPr>
                  <w:r>
                    <w:rPr>
                      <w:rFonts w:ascii="Cambria" w:hAnsi="Cambria"/>
                      <w:b/>
                      <w:bCs/>
                      <w:szCs w:val="20"/>
                      <w:lang w:eastAsia="en-US"/>
                    </w:rPr>
                    <w:t>5</w:t>
                  </w:r>
                </w:p>
              </w:tc>
              <w:tc>
                <w:tcPr>
                  <w:tcW w:w="2335" w:type="dxa"/>
                  <w:vAlign w:val="top"/>
                </w:tcPr>
                <w:p>
                  <w:pPr>
                    <w:rPr>
                      <w:rFonts w:ascii="Cambria" w:hAnsi="Cambria"/>
                      <w:b/>
                      <w:bCs/>
                      <w:szCs w:val="20"/>
                      <w:lang w:eastAsia="en-US"/>
                    </w:rPr>
                  </w:pPr>
                  <w:r>
                    <w:rPr>
                      <w:rFonts w:ascii="Cambria" w:hAnsi="Cambria"/>
                      <w:b/>
                      <w:bCs/>
                      <w:szCs w:val="20"/>
                      <w:lang w:eastAsia="en-US"/>
                    </w:rPr>
                    <w:t>50%</w:t>
                  </w:r>
                </w:p>
              </w:tc>
            </w:tr>
          </w:tbl>
          <w:p>
            <w:pPr>
              <w:keepNext/>
              <w:outlineLvl w:val="2"/>
              <w:rPr>
                <w:rFonts w:ascii="Cambria" w:hAnsi="Cambria"/>
                <w:bCs/>
                <w:szCs w:val="20"/>
                <w:lang w:eastAsia="en-US"/>
              </w:rPr>
            </w:pPr>
          </w:p>
        </w:tc>
      </w:tr>
    </w:tbl>
    <w:p>
      <w:pPr>
        <w:jc w:val="both"/>
        <w:rPr>
          <w:rFonts w:ascii="Times New Roman" w:hAnsi="Times New Roman" w:cs="Times New Roman"/>
        </w:rPr>
      </w:pPr>
    </w:p>
    <w:p>
      <w:pPr>
        <w:jc w:val="both"/>
        <w:rPr>
          <w:rFonts w:ascii="Times New Roman" w:hAnsi="Times New Roman" w:cs="Times New Roman"/>
        </w:rPr>
      </w:pP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semestralna provjera znanja: 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Anđelković Mileva, Dimitrijević Marina: </w:t>
      </w:r>
      <w:r>
        <w:rPr>
          <w:rFonts w:ascii="Times New Roman" w:hAnsi="Times New Roman" w:cs="Times New Roman"/>
          <w:b/>
        </w:rPr>
        <w:t>Poresko pravo Srbije</w:t>
      </w:r>
      <w:r>
        <w:rPr>
          <w:rFonts w:ascii="Times New Roman" w:hAnsi="Times New Roman" w:cs="Times New Roman"/>
        </w:rPr>
        <w:t>, Niš, 2009., od 17 do 34 stranice;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Dautbašić Ismet: </w:t>
      </w:r>
      <w:r>
        <w:rPr>
          <w:rFonts w:ascii="Times New Roman" w:hAnsi="Times New Roman" w:cs="Times New Roman"/>
          <w:b/>
        </w:rPr>
        <w:t>Finansije i finansijsko pravo</w:t>
      </w:r>
      <w:r>
        <w:rPr>
          <w:rFonts w:ascii="Times New Roman" w:hAnsi="Times New Roman" w:cs="Times New Roman"/>
        </w:rPr>
        <w:t xml:space="preserve">, VII - izdanje, Magistrat, Sarajevo, 2004., od 95 do 195 stranice; 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 semestralna provjera znanja: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Jelčić Barbara, Jelčić Božidar: </w:t>
      </w:r>
      <w:r>
        <w:rPr>
          <w:rFonts w:ascii="Times New Roman" w:hAnsi="Times New Roman" w:cs="Times New Roman"/>
          <w:b/>
        </w:rPr>
        <w:t>Porezni sustav i porezna politika</w:t>
      </w:r>
      <w:r>
        <w:rPr>
          <w:rFonts w:ascii="Times New Roman" w:hAnsi="Times New Roman" w:cs="Times New Roman"/>
        </w:rPr>
        <w:t>, Informator, Zagreb, 1998.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Porezno pravo BiH - Sistem indirektnog oporezivanja u BiH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Porezno pravo FBiH - Direktni porezi</w:t>
      </w:r>
    </w:p>
    <w:p>
      <w:pPr>
        <w:jc w:val="both"/>
        <w:rPr>
          <w:rFonts w:ascii="Times New Roman" w:hAnsi="Times New Roman" w:cs="Times New Roman"/>
        </w:rPr>
      </w:pPr>
    </w:p>
    <w:p>
      <w:pPr>
        <w:pStyle w:val="7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</w:t>
      </w:r>
      <w:r>
        <w:rPr>
          <w:rFonts w:ascii="Times New Roman" w:hAnsi="Times New Roman" w:cs="Times New Roman"/>
          <w:lang w:val="en-US"/>
        </w:rPr>
        <w:t>parcijalni ispit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30</w:t>
      </w:r>
      <w:r>
        <w:rPr>
          <w:rFonts w:ascii="Times New Roman" w:hAnsi="Times New Roman" w:cs="Times New Roman"/>
        </w:rPr>
        <w:t xml:space="preserve"> bodova</w:t>
      </w:r>
    </w:p>
    <w:p>
      <w:pPr>
        <w:pStyle w:val="7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seminarski rad i prezentacija 20</w:t>
      </w:r>
    </w:p>
    <w:p>
      <w:pPr>
        <w:pStyle w:val="7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II </w:t>
      </w:r>
      <w:r>
        <w:rPr>
          <w:rFonts w:ascii="Times New Roman" w:hAnsi="Times New Roman" w:cs="Times New Roman"/>
          <w:lang w:val="en-US"/>
        </w:rPr>
        <w:t>parcijalni ispit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5</w:t>
      </w:r>
      <w:r>
        <w:rPr>
          <w:rFonts w:ascii="Times New Roman" w:hAnsi="Times New Roman" w:cs="Times New Roman"/>
        </w:rPr>
        <w:t>0 bodova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n-US"/>
        </w:rPr>
        <w:t>Parcijalnom ispitu</w:t>
      </w:r>
      <w:r>
        <w:rPr>
          <w:rFonts w:ascii="Times New Roman" w:hAnsi="Times New Roman" w:cs="Times New Roman"/>
        </w:rPr>
        <w:t xml:space="preserve"> mogu pristupiti studenti koji su prisustvovali nastavi (r i rs), vanredni i studenti dl studija.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Ukoliko student ne pristupi </w:t>
      </w:r>
      <w:r>
        <w:rPr>
          <w:rFonts w:ascii="Times New Roman" w:hAnsi="Times New Roman" w:cs="Times New Roman"/>
          <w:lang w:val="en-US"/>
        </w:rPr>
        <w:t>parcijalnom ispitu</w:t>
      </w:r>
      <w:r>
        <w:rPr>
          <w:rFonts w:ascii="Times New Roman" w:hAnsi="Times New Roman" w:cs="Times New Roman"/>
        </w:rPr>
        <w:t xml:space="preserve"> u toku semestra ispit polaže integralno. Ispit se polaže usmeno ili pismeno.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Literatura za spremanje ispita: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Dautbašić Ismet: Finansije i finansijsko pravo, VII - izdanje, Magistrat, Sarajevo, 2004. od 95 do 195 stranice;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Jelčić Barbara, Jelčić Božidar: Porezni sustav i porezna politika, Informator, Zagreb, 1998.</w:t>
      </w: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Popović Dejan: Poresko pravo, Pravni fakultet, Beograd 2009. ili Anđelković Mileva, Dimitrijević Marina: Poresko pravo Srbije, Niš, 2009., od 17 do 34 stranice;</w:t>
      </w:r>
    </w:p>
    <w:p>
      <w:pPr>
        <w:pStyle w:val="5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Zakon o sistemu indirektnog oporezivanja („Služben</w:t>
      </w:r>
      <w:r>
        <w:rPr>
          <w:rFonts w:ascii="Times New Roman" w:hAnsi="Times New Roman"/>
          <w:lang w:val="en-US"/>
        </w:rPr>
        <w:t xml:space="preserve">i glasnik </w:t>
      </w:r>
      <w:r>
        <w:rPr>
          <w:rFonts w:ascii="Times New Roman" w:hAnsi="Times New Roman"/>
        </w:rPr>
        <w:t>BiH“</w:t>
      </w:r>
      <w:r>
        <w:rPr>
          <w:rFonts w:ascii="Times New Roman" w:hAnsi="Times New Roman"/>
          <w:lang w:val="en-US"/>
        </w:rPr>
        <w:t>,</w:t>
      </w:r>
      <w:r>
        <w:rPr>
          <w:rFonts w:ascii="Times New Roman" w:hAnsi="Times New Roman"/>
        </w:rPr>
        <w:t xml:space="preserve"> broj 44/03, 52/04, 34/07, 49/09, 32/13</w:t>
      </w:r>
      <w:r>
        <w:rPr>
          <w:rFonts w:ascii="Times New Roman" w:hAnsi="Times New Roman"/>
          <w:lang w:val="en-US"/>
        </w:rPr>
        <w:t>, 92/17</w:t>
      </w:r>
      <w:r>
        <w:rPr>
          <w:rFonts w:ascii="Times New Roman" w:hAnsi="Times New Roman"/>
        </w:rPr>
        <w:t>)</w:t>
      </w:r>
    </w:p>
    <w:p>
      <w:pPr>
        <w:pStyle w:val="5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Zakon o upravi za indirektno oporezivanje („Služben</w:t>
      </w:r>
      <w:r>
        <w:rPr>
          <w:rFonts w:ascii="Times New Roman" w:hAnsi="Times New Roman"/>
          <w:lang w:val="en-US"/>
        </w:rPr>
        <w:t>i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 xml:space="preserve">glasnik </w:t>
      </w:r>
      <w:r>
        <w:rPr>
          <w:rFonts w:ascii="Times New Roman" w:hAnsi="Times New Roman"/>
        </w:rPr>
        <w:t>BiH“</w:t>
      </w:r>
      <w:r>
        <w:rPr>
          <w:rFonts w:ascii="Times New Roman" w:hAnsi="Times New Roman"/>
          <w:lang w:val="en-US"/>
        </w:rPr>
        <w:t>,</w:t>
      </w:r>
      <w:r>
        <w:rPr>
          <w:rFonts w:ascii="Times New Roman" w:hAnsi="Times New Roman"/>
        </w:rPr>
        <w:t xml:space="preserve"> broj 89/05 )</w:t>
      </w:r>
    </w:p>
    <w:p>
      <w:pPr>
        <w:pStyle w:val="5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Zakon o postupku indirektnog oporezivanja („Služben</w:t>
      </w:r>
      <w:r>
        <w:rPr>
          <w:rFonts w:ascii="Times New Roman" w:hAnsi="Times New Roman"/>
          <w:lang w:val="en-US"/>
        </w:rPr>
        <w:t>i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 xml:space="preserve">glasnik </w:t>
      </w:r>
      <w:r>
        <w:rPr>
          <w:rFonts w:ascii="Times New Roman" w:hAnsi="Times New Roman"/>
        </w:rPr>
        <w:t>BiH“</w:t>
      </w:r>
      <w:r>
        <w:rPr>
          <w:rFonts w:ascii="Times New Roman" w:hAnsi="Times New Roman"/>
          <w:lang w:val="en-US"/>
        </w:rPr>
        <w:t>,</w:t>
      </w:r>
      <w:r>
        <w:rPr>
          <w:rFonts w:ascii="Times New Roman" w:hAnsi="Times New Roman"/>
        </w:rPr>
        <w:t xml:space="preserve"> broj 89/05, 100/13)</w:t>
      </w:r>
    </w:p>
    <w:p>
      <w:pPr>
        <w:pStyle w:val="5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Zakon o uplatama na jedinstveni račun </w:t>
      </w:r>
      <w:r>
        <w:rPr>
          <w:rFonts w:ascii="Times New Roman" w:hAnsi="Times New Roman"/>
          <w:lang w:val="en-US"/>
        </w:rPr>
        <w:t>i</w:t>
      </w:r>
      <w:r>
        <w:rPr>
          <w:rFonts w:ascii="Times New Roman" w:hAnsi="Times New Roman"/>
        </w:rPr>
        <w:t xml:space="preserve"> raspodjeli prihoda („Služben</w:t>
      </w:r>
      <w:r>
        <w:rPr>
          <w:rFonts w:ascii="Times New Roman" w:hAnsi="Times New Roman"/>
          <w:lang w:val="en-US"/>
        </w:rPr>
        <w:t>i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 xml:space="preserve">glasnik </w:t>
      </w:r>
      <w:r>
        <w:rPr>
          <w:rFonts w:ascii="Times New Roman" w:hAnsi="Times New Roman"/>
        </w:rPr>
        <w:t>BiH“</w:t>
      </w:r>
      <w:r>
        <w:rPr>
          <w:rFonts w:ascii="Times New Roman" w:hAnsi="Times New Roman"/>
          <w:lang w:val="en-US"/>
        </w:rPr>
        <w:t xml:space="preserve">, </w:t>
      </w:r>
      <w:r>
        <w:rPr>
          <w:rFonts w:ascii="Times New Roman" w:hAnsi="Times New Roman"/>
        </w:rPr>
        <w:t xml:space="preserve"> broj 55/04, 34/07, 49/09</w:t>
      </w:r>
      <w:r>
        <w:rPr>
          <w:rFonts w:ascii="Times New Roman" w:hAnsi="Times New Roman"/>
          <w:lang w:val="en-US"/>
        </w:rPr>
        <w:t>, 92/17</w:t>
      </w:r>
      <w:r>
        <w:rPr>
          <w:rFonts w:ascii="Times New Roman" w:hAnsi="Times New Roman"/>
        </w:rPr>
        <w:t>)</w:t>
      </w:r>
    </w:p>
    <w:p>
      <w:pPr>
        <w:pStyle w:val="5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Zakon o </w:t>
      </w:r>
      <w:r>
        <w:rPr>
          <w:rFonts w:ascii="Times New Roman" w:hAnsi="Times New Roman"/>
          <w:lang w:val="en-US"/>
        </w:rPr>
        <w:t xml:space="preserve">postupku </w:t>
      </w:r>
      <w:r>
        <w:rPr>
          <w:rFonts w:ascii="Times New Roman" w:hAnsi="Times New Roman"/>
        </w:rPr>
        <w:t>prinudn</w:t>
      </w:r>
      <w:r>
        <w:rPr>
          <w:rFonts w:ascii="Times New Roman" w:hAnsi="Times New Roman"/>
          <w:lang w:val="en-US"/>
        </w:rPr>
        <w:t>e</w:t>
      </w:r>
      <w:r>
        <w:rPr>
          <w:rFonts w:ascii="Times New Roman" w:hAnsi="Times New Roman"/>
        </w:rPr>
        <w:t xml:space="preserve"> naplat</w:t>
      </w:r>
      <w:r>
        <w:rPr>
          <w:rFonts w:ascii="Times New Roman" w:hAnsi="Times New Roman"/>
          <w:lang w:val="en-US"/>
        </w:rPr>
        <w:t xml:space="preserve">e indirektnih poreza </w:t>
      </w:r>
      <w:r>
        <w:rPr>
          <w:rFonts w:ascii="Times New Roman" w:hAnsi="Times New Roman"/>
        </w:rPr>
        <w:t>(„Služben</w:t>
      </w:r>
      <w:r>
        <w:rPr>
          <w:rFonts w:ascii="Times New Roman" w:hAnsi="Times New Roman"/>
          <w:lang w:val="en-US"/>
        </w:rPr>
        <w:t>i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 xml:space="preserve">glasnik </w:t>
      </w:r>
      <w:r>
        <w:rPr>
          <w:rFonts w:ascii="Times New Roman" w:hAnsi="Times New Roman"/>
        </w:rPr>
        <w:t>BiH“</w:t>
      </w:r>
      <w:r>
        <w:rPr>
          <w:rFonts w:ascii="Times New Roman" w:hAnsi="Times New Roman"/>
          <w:lang w:val="en-US"/>
        </w:rPr>
        <w:t>,</w:t>
      </w:r>
      <w:r>
        <w:rPr>
          <w:rFonts w:ascii="Times New Roman" w:hAnsi="Times New Roman"/>
        </w:rPr>
        <w:t xml:space="preserve"> broj 89/05</w:t>
      </w:r>
      <w:r>
        <w:rPr>
          <w:rFonts w:ascii="Times New Roman" w:hAnsi="Times New Roman"/>
          <w:lang w:val="en-US"/>
        </w:rPr>
        <w:t xml:space="preserve"> i</w:t>
      </w:r>
      <w:r>
        <w:rPr>
          <w:rFonts w:ascii="Times New Roman" w:hAnsi="Times New Roman"/>
        </w:rPr>
        <w:t xml:space="preserve"> 62/11)</w:t>
      </w:r>
    </w:p>
    <w:p>
      <w:pPr>
        <w:pStyle w:val="5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Zakon o carinsko</w:t>
      </w:r>
      <w:r>
        <w:rPr>
          <w:rFonts w:ascii="Times New Roman" w:hAnsi="Times New Roman"/>
          <w:lang w:val="en-US"/>
        </w:rPr>
        <w:t>j</w:t>
      </w:r>
      <w:r>
        <w:rPr>
          <w:rFonts w:ascii="Times New Roman" w:hAnsi="Times New Roman"/>
        </w:rPr>
        <w:t xml:space="preserve"> politici („Služben</w:t>
      </w:r>
      <w:r>
        <w:rPr>
          <w:rFonts w:ascii="Times New Roman" w:hAnsi="Times New Roman"/>
          <w:lang w:val="en-US"/>
        </w:rPr>
        <w:t>i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 xml:space="preserve">glasnik </w:t>
      </w:r>
      <w:r>
        <w:rPr>
          <w:rFonts w:ascii="Times New Roman" w:hAnsi="Times New Roman"/>
        </w:rPr>
        <w:t>BiH“</w:t>
      </w:r>
      <w:r>
        <w:rPr>
          <w:rFonts w:ascii="Times New Roman" w:hAnsi="Times New Roman"/>
          <w:lang w:val="en-US"/>
        </w:rPr>
        <w:t>,</w:t>
      </w:r>
      <w:r>
        <w:rPr>
          <w:rFonts w:ascii="Times New Roman" w:hAnsi="Times New Roman"/>
        </w:rPr>
        <w:t xml:space="preserve"> broj 57/04, 51/06, 93/08, 54/10</w:t>
      </w:r>
      <w:r>
        <w:rPr>
          <w:rFonts w:ascii="Times New Roman" w:hAnsi="Times New Roman"/>
          <w:lang w:val="en-US"/>
        </w:rPr>
        <w:t xml:space="preserve"> i</w:t>
      </w:r>
      <w:r>
        <w:rPr>
          <w:rFonts w:ascii="Times New Roman" w:hAnsi="Times New Roman"/>
        </w:rPr>
        <w:t xml:space="preserve"> 76/11</w:t>
      </w:r>
      <w:r>
        <w:rPr>
          <w:rFonts w:ascii="Times New Roman" w:hAnsi="Times New Roman"/>
          <w:lang w:val="en-US"/>
        </w:rPr>
        <w:t>) - 58/15 nije još u primjeni</w:t>
      </w:r>
    </w:p>
    <w:p>
      <w:pPr>
        <w:pStyle w:val="5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Zakon o carinsko</w:t>
      </w:r>
      <w:r>
        <w:rPr>
          <w:rFonts w:ascii="Times New Roman" w:hAnsi="Times New Roman"/>
          <w:lang w:val="en-US"/>
        </w:rPr>
        <w:t>j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>tarifi (</w:t>
      </w:r>
      <w:r>
        <w:rPr>
          <w:rFonts w:ascii="Times New Roman" w:hAnsi="Times New Roman"/>
        </w:rPr>
        <w:t>„Služben</w:t>
      </w:r>
      <w:r>
        <w:rPr>
          <w:rFonts w:ascii="Times New Roman" w:hAnsi="Times New Roman"/>
          <w:lang w:val="en-US"/>
        </w:rPr>
        <w:t xml:space="preserve">i glasnik </w:t>
      </w:r>
      <w:r>
        <w:rPr>
          <w:rFonts w:ascii="Times New Roman" w:hAnsi="Times New Roman"/>
        </w:rPr>
        <w:t>BiH“</w:t>
      </w:r>
      <w:r>
        <w:rPr>
          <w:rFonts w:ascii="Times New Roman" w:hAnsi="Times New Roman"/>
          <w:lang w:val="en-US"/>
        </w:rPr>
        <w:t xml:space="preserve">, </w:t>
      </w:r>
      <w:r>
        <w:rPr>
          <w:rFonts w:ascii="Times New Roman" w:hAnsi="Times New Roman"/>
        </w:rPr>
        <w:t>broj</w:t>
      </w:r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t xml:space="preserve">58/12) </w:t>
      </w:r>
    </w:p>
    <w:p>
      <w:pPr>
        <w:pStyle w:val="5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Zakon o carinskim prekršajima („Služben</w:t>
      </w:r>
      <w:r>
        <w:rPr>
          <w:rFonts w:ascii="Times New Roman" w:hAnsi="Times New Roman"/>
          <w:lang w:val="en-US"/>
        </w:rPr>
        <w:t>i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 xml:space="preserve">glasnik </w:t>
      </w:r>
      <w:r>
        <w:rPr>
          <w:rFonts w:ascii="Times New Roman" w:hAnsi="Times New Roman"/>
        </w:rPr>
        <w:t>BiH“</w:t>
      </w:r>
      <w:r>
        <w:rPr>
          <w:rFonts w:ascii="Times New Roman" w:hAnsi="Times New Roman"/>
          <w:lang w:val="en-US"/>
        </w:rPr>
        <w:t>,</w:t>
      </w:r>
      <w:r>
        <w:rPr>
          <w:rFonts w:ascii="Times New Roman" w:hAnsi="Times New Roman"/>
        </w:rPr>
        <w:t xml:space="preserve"> broj 88/05 )</w:t>
      </w:r>
    </w:p>
    <w:p>
      <w:pPr>
        <w:pStyle w:val="5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Zakon o porezu na dodanu vrijednost („Služben</w:t>
      </w:r>
      <w:r>
        <w:rPr>
          <w:rFonts w:ascii="Times New Roman" w:hAnsi="Times New Roman"/>
          <w:lang w:val="en-US"/>
        </w:rPr>
        <w:t>i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 xml:space="preserve">glasnik </w:t>
      </w:r>
      <w:r>
        <w:rPr>
          <w:rFonts w:ascii="Times New Roman" w:hAnsi="Times New Roman"/>
        </w:rPr>
        <w:t>BiH“</w:t>
      </w:r>
      <w:r>
        <w:rPr>
          <w:rFonts w:ascii="Times New Roman" w:hAnsi="Times New Roman"/>
          <w:lang w:val="en-US"/>
        </w:rPr>
        <w:t>,</w:t>
      </w:r>
      <w:r>
        <w:rPr>
          <w:rFonts w:ascii="Times New Roman" w:hAnsi="Times New Roman"/>
        </w:rPr>
        <w:t xml:space="preserve"> broj 09/05, 35/05, 100/08</w:t>
      </w:r>
      <w:r>
        <w:rPr>
          <w:rFonts w:ascii="Times New Roman" w:hAnsi="Times New Roman"/>
          <w:lang w:val="en-US"/>
        </w:rPr>
        <w:t>, 33/17</w:t>
      </w:r>
      <w:r>
        <w:rPr>
          <w:rFonts w:ascii="Times New Roman" w:hAnsi="Times New Roman"/>
        </w:rPr>
        <w:t>)</w:t>
      </w:r>
    </w:p>
    <w:p>
      <w:pPr>
        <w:pStyle w:val="5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Zakon o akcizama, („Služben</w:t>
      </w:r>
      <w:r>
        <w:rPr>
          <w:rFonts w:ascii="Times New Roman" w:hAnsi="Times New Roman"/>
          <w:lang w:val="en-US"/>
        </w:rPr>
        <w:t>i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 xml:space="preserve">glasnik </w:t>
      </w:r>
      <w:r>
        <w:rPr>
          <w:rFonts w:ascii="Times New Roman" w:hAnsi="Times New Roman"/>
        </w:rPr>
        <w:t>BiH“</w:t>
      </w:r>
      <w:r>
        <w:rPr>
          <w:rFonts w:ascii="Times New Roman" w:hAnsi="Times New Roman"/>
          <w:lang w:val="en-US"/>
        </w:rPr>
        <w:t>,</w:t>
      </w:r>
      <w:r>
        <w:rPr>
          <w:rFonts w:ascii="Times New Roman" w:hAnsi="Times New Roman"/>
        </w:rPr>
        <w:t xml:space="preserve"> broj 49/09, 49/14, 60/14</w:t>
      </w:r>
      <w:r>
        <w:rPr>
          <w:rFonts w:ascii="Times New Roman" w:hAnsi="Times New Roman"/>
          <w:lang w:val="en-US"/>
        </w:rPr>
        <w:t>, 91/17</w:t>
      </w:r>
      <w:r>
        <w:rPr>
          <w:rFonts w:ascii="Times New Roman" w:hAnsi="Times New Roman"/>
        </w:rPr>
        <w:t>)</w:t>
      </w:r>
    </w:p>
    <w:p>
      <w:pPr>
        <w:pStyle w:val="5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Zakon o Poreznoj upravi Federacije BiH</w:t>
      </w:r>
      <w:r>
        <w:rPr>
          <w:rFonts w:ascii="Times New Roman" w:hAnsi="Times New Roman"/>
          <w:lang w:val="en-US"/>
        </w:rPr>
        <w:t xml:space="preserve">, </w:t>
      </w:r>
      <w:r>
        <w:rPr>
          <w:rFonts w:ascii="Times New Roman" w:hAnsi="Times New Roman"/>
        </w:rPr>
        <w:t>(„Službene novine Federacije BiH“</w:t>
      </w:r>
      <w:r>
        <w:rPr>
          <w:rFonts w:ascii="Times New Roman" w:hAnsi="Times New Roman"/>
          <w:lang w:val="en-US"/>
        </w:rPr>
        <w:t>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 xml:space="preserve">broj </w:t>
      </w:r>
      <w:r>
        <w:rPr>
          <w:rFonts w:ascii="Times New Roman" w:hAnsi="Times New Roman"/>
        </w:rPr>
        <w:t>33/02; 28/04; 57/09; 40/10; 27/12; 07/13; 71/14; 91/15)</w:t>
      </w:r>
    </w:p>
    <w:p>
      <w:pPr>
        <w:pStyle w:val="5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Zakon o p</w:t>
      </w:r>
      <w:r>
        <w:rPr>
          <w:rFonts w:ascii="Times New Roman" w:hAnsi="Times New Roman"/>
        </w:rPr>
        <w:t>orez</w:t>
      </w:r>
      <w:r>
        <w:rPr>
          <w:rFonts w:ascii="Times New Roman" w:hAnsi="Times New Roman"/>
          <w:lang w:val="en-US"/>
        </w:rPr>
        <w:t>u</w:t>
      </w:r>
      <w:r>
        <w:rPr>
          <w:rFonts w:ascii="Times New Roman" w:hAnsi="Times New Roman"/>
        </w:rPr>
        <w:t xml:space="preserve"> na dobit, („Službene novine Federacije BiH“</w:t>
      </w:r>
      <w:r>
        <w:rPr>
          <w:rFonts w:ascii="Times New Roman" w:hAnsi="Times New Roman"/>
          <w:lang w:val="en-US"/>
        </w:rPr>
        <w:t>, broj</w:t>
      </w:r>
      <w:r>
        <w:rPr>
          <w:rFonts w:ascii="Times New Roman" w:hAnsi="Times New Roman"/>
        </w:rPr>
        <w:t xml:space="preserve"> 15/16)</w:t>
      </w:r>
    </w:p>
    <w:p>
      <w:pPr>
        <w:pStyle w:val="5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lang w:val="en-US"/>
        </w:rPr>
        <w:t>Zakon o p</w:t>
      </w:r>
      <w:r>
        <w:rPr>
          <w:rFonts w:ascii="Times New Roman" w:hAnsi="Times New Roman"/>
        </w:rPr>
        <w:t>orez</w:t>
      </w:r>
      <w:r>
        <w:rPr>
          <w:rFonts w:ascii="Times New Roman" w:hAnsi="Times New Roman"/>
          <w:lang w:val="en-US"/>
        </w:rPr>
        <w:t>u</w:t>
      </w:r>
      <w:r>
        <w:rPr>
          <w:rFonts w:ascii="Times New Roman" w:hAnsi="Times New Roman"/>
        </w:rPr>
        <w:t xml:space="preserve"> na dohodak, („Službene novine Federacije BiH“</w:t>
      </w:r>
      <w:r>
        <w:rPr>
          <w:rFonts w:ascii="Times New Roman" w:hAnsi="Times New Roman"/>
          <w:lang w:val="en-US"/>
        </w:rPr>
        <w:t>, broj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>1</w:t>
      </w:r>
      <w:r>
        <w:rPr>
          <w:rFonts w:ascii="Times New Roman" w:hAnsi="Times New Roman"/>
        </w:rPr>
        <w:t>0/08, 9/10, 44/11, 7/13 i 65/13)</w:t>
      </w:r>
    </w:p>
    <w:p>
      <w:pPr>
        <w:pStyle w:val="5"/>
        <w:numPr>
          <w:ilvl w:val="0"/>
          <w:numId w:val="2"/>
        </w:numPr>
        <w:jc w:val="both"/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</w:rPr>
        <w:t>Zakon o doprinosima FBiH, („Službene novine Federacije BiH“</w:t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, broj</w:t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35/98, 54/00, 16/01, 37/01, 1/02, 17/06, 14/08, 91/15</w:t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>, 104/16 i</w:t>
      </w:r>
      <w:bookmarkStart w:id="0" w:name="_GoBack"/>
      <w:bookmarkEnd w:id="0"/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auto"/>
          <w:spacing w:val="0"/>
          <w:sz w:val="24"/>
          <w:szCs w:val="24"/>
          <w:shd w:val="clear" w:fill="FFFFFF"/>
        </w:rPr>
        <w:t>34/18</w:t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</w:rPr>
        <w:t>)</w:t>
      </w:r>
    </w:p>
    <w:p>
      <w:pPr>
        <w:pStyle w:val="5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Zakon o Jedinstvenom sistemu registracije, kontrole i naplate doprinosa, („Službene novine FBiH“</w:t>
      </w:r>
      <w:r>
        <w:rPr>
          <w:rFonts w:ascii="Times New Roman" w:hAnsi="Times New Roman"/>
          <w:lang w:val="en-US"/>
        </w:rPr>
        <w:t>, broj</w:t>
      </w:r>
      <w:r>
        <w:rPr>
          <w:rFonts w:ascii="Times New Roman" w:hAnsi="Times New Roman"/>
        </w:rPr>
        <w:t xml:space="preserve"> 42/09,</w:t>
      </w:r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t>109/12,</w:t>
      </w:r>
      <w:r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</w:rPr>
        <w:t>86/15</w:t>
      </w:r>
      <w:r>
        <w:rPr>
          <w:rFonts w:ascii="Times New Roman" w:hAnsi="Times New Roman"/>
          <w:lang w:val="en-US"/>
        </w:rPr>
        <w:t xml:space="preserve"> i 30/16</w:t>
      </w:r>
      <w:r>
        <w:rPr>
          <w:rFonts w:ascii="Times New Roman" w:hAnsi="Times New Roman"/>
        </w:rPr>
        <w:t>)</w:t>
      </w:r>
    </w:p>
    <w:p>
      <w:pPr>
        <w:pStyle w:val="5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Zakon o prekršajima, („Službene novine F BiH“</w:t>
      </w:r>
      <w:r>
        <w:rPr>
          <w:rFonts w:ascii="Times New Roman" w:hAnsi="Times New Roman"/>
          <w:lang w:val="en-US"/>
        </w:rPr>
        <w:t xml:space="preserve">, broj </w:t>
      </w:r>
      <w:r>
        <w:rPr>
          <w:rFonts w:ascii="Times New Roman" w:hAnsi="Times New Roman"/>
        </w:rPr>
        <w:t>63/14)</w:t>
      </w:r>
    </w:p>
    <w:p>
      <w:pPr>
        <w:pStyle w:val="5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Zakon o pripadnosti javnih prihoda u Federaciji BiH, („Službene novine FBiH“</w:t>
      </w:r>
      <w:r>
        <w:rPr>
          <w:rFonts w:ascii="Times New Roman" w:hAnsi="Times New Roman"/>
          <w:lang w:val="en-US"/>
        </w:rPr>
        <w:t xml:space="preserve">, </w:t>
      </w:r>
      <w:r>
        <w:rPr>
          <w:rFonts w:ascii="Times New Roman" w:hAnsi="Times New Roman"/>
        </w:rPr>
        <w:t xml:space="preserve">22/06, 43/08, 22/09, </w:t>
      </w:r>
      <w:r>
        <w:rPr>
          <w:rFonts w:ascii="Times New Roman" w:hAnsi="Times New Roman"/>
          <w:lang w:val="en-US"/>
        </w:rPr>
        <w:t>35/14 i 94/15</w:t>
      </w:r>
      <w:r>
        <w:rPr>
          <w:rFonts w:ascii="Times New Roman" w:hAnsi="Times New Roman"/>
        </w:rPr>
        <w:t>)</w:t>
      </w:r>
    </w:p>
    <w:p>
      <w:pPr>
        <w:pStyle w:val="5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Zakon o porezu na promet nepokretnosti i prava Kantona Sarajevo, („Službene novine KS“</w:t>
      </w:r>
      <w:r>
        <w:rPr>
          <w:rFonts w:ascii="Times New Roman" w:hAnsi="Times New Roman"/>
          <w:lang w:val="en-US"/>
        </w:rPr>
        <w:t>,</w:t>
      </w:r>
      <w:r>
        <w:rPr>
          <w:rFonts w:ascii="Times New Roman" w:hAnsi="Times New Roman"/>
        </w:rPr>
        <w:t xml:space="preserve"> broj 23/05, 25/06, 41/08)</w:t>
      </w:r>
    </w:p>
    <w:p>
      <w:pPr>
        <w:pStyle w:val="5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Zakon o porezu na imovinu Kantona Karajevo, („Službene novine KS“</w:t>
      </w:r>
      <w:r>
        <w:rPr>
          <w:rFonts w:ascii="Times New Roman" w:hAnsi="Times New Roman"/>
          <w:lang w:val="en-US"/>
        </w:rPr>
        <w:t>,</w:t>
      </w:r>
      <w:r>
        <w:rPr>
          <w:rFonts w:ascii="Times New Roman" w:hAnsi="Times New Roman"/>
        </w:rPr>
        <w:t xml:space="preserve"> broj 07/09)</w:t>
      </w:r>
    </w:p>
    <w:p>
      <w:pPr>
        <w:pStyle w:val="5"/>
        <w:jc w:val="both"/>
        <w:rPr>
          <w:rFonts w:ascii="Times New Roman" w:hAnsi="Times New Roman"/>
        </w:rPr>
      </w:pPr>
    </w:p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Pozitivno pravni propisi (na desktop kompjutera u sali </w:t>
      </w:r>
      <w:r>
        <w:rPr>
          <w:rFonts w:ascii="Times New Roman" w:hAnsi="Times New Roman" w:cs="Times New Roman"/>
          <w:lang w:val="en-US"/>
        </w:rPr>
        <w:t xml:space="preserve">PDS </w:t>
      </w:r>
      <w:r>
        <w:rPr>
          <w:rFonts w:ascii="Times New Roman" w:hAnsi="Times New Roman" w:cs="Times New Roman"/>
        </w:rPr>
        <w:t>postavljen folder sa dijelom zakonskih propisa, a u toku nastave, prema dinamici obrade tematskih cjelina iz poreznog prava BiH, će biti date detaljne upute o legislativi potrebnoj za spremanje ispita).</w:t>
      </w:r>
    </w:p>
    <w:p>
      <w:pPr>
        <w:jc w:val="both"/>
        <w:rPr>
          <w:rFonts w:ascii="Times New Roman" w:hAnsi="Times New Roman" w:cs="Times New Roman"/>
        </w:rPr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swiss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decorative"/>
    <w:pitch w:val="default"/>
    <w:sig w:usb0="E0002AFF" w:usb1="C000247B" w:usb2="00000009" w:usb3="00000000" w:csb0="200001FF" w:csb1="00000000"/>
  </w:font>
  <w:font w:name="Lucida Sans Unicode">
    <w:panose1 w:val="020B0602030504020204"/>
    <w:charset w:val="EE"/>
    <w:family w:val="roman"/>
    <w:pitch w:val="default"/>
    <w:sig w:usb0="80001AFF" w:usb1="0000396B" w:usb2="00000000" w:usb3="00000000" w:csb0="200000BF" w:csb1="D7F70000"/>
  </w:font>
  <w:font w:name="Calibri">
    <w:panose1 w:val="020F0502020204030204"/>
    <w:charset w:val="86"/>
    <w:family w:val="decorative"/>
    <w:pitch w:val="default"/>
    <w:sig w:usb0="E0002A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0002AFF" w:usb1="C000247B" w:usb2="00000009" w:usb3="00000000" w:csb0="200001FF" w:csb1="00000000"/>
  </w:font>
  <w:font w:name="Cambria">
    <w:panose1 w:val="02040503050406030204"/>
    <w:charset w:val="00"/>
    <w:family w:val="modern"/>
    <w:pitch w:val="default"/>
    <w:sig w:usb0="E00006FF" w:usb1="420024FF" w:usb2="02000000" w:usb3="00000000" w:csb0="2000019F" w:csb1="0000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0437F"/>
    <w:multiLevelType w:val="multilevel"/>
    <w:tmpl w:val="0D20437F"/>
    <w:lvl w:ilvl="0" w:tentative="0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37A57BA5"/>
    <w:multiLevelType w:val="multilevel"/>
    <w:tmpl w:val="37A57BA5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713E28"/>
    <w:multiLevelType w:val="multilevel"/>
    <w:tmpl w:val="3A713E28"/>
    <w:lvl w:ilvl="0" w:tentative="0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C1F"/>
    <w:rsid w:val="001B6DFB"/>
    <w:rsid w:val="00524511"/>
    <w:rsid w:val="00612C1F"/>
    <w:rsid w:val="00942F3D"/>
    <w:rsid w:val="1442197E"/>
    <w:rsid w:val="1C713090"/>
    <w:rsid w:val="249C0F9B"/>
    <w:rsid w:val="2EED1A6F"/>
    <w:rsid w:val="3F7D488C"/>
    <w:rsid w:val="4F0C3250"/>
    <w:rsid w:val="6B35221D"/>
    <w:rsid w:val="7F6C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bs-Latn-BA" w:eastAsia="en-US" w:bidi="ar-SA"/>
    </w:rPr>
  </w:style>
  <w:style w:type="character" w:default="1" w:styleId="3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link w:val="6"/>
    <w:qFormat/>
    <w:uiPriority w:val="0"/>
    <w:pPr>
      <w:spacing w:after="120" w:line="480" w:lineRule="auto"/>
    </w:pPr>
    <w:rPr>
      <w:rFonts w:ascii="Calibri" w:hAnsi="Calibri" w:eastAsia="SimSun" w:cs="Times New Roman"/>
      <w:sz w:val="24"/>
      <w:szCs w:val="24"/>
      <w:lang w:val="hr-HR"/>
    </w:rPr>
  </w:style>
  <w:style w:type="paragraph" w:customStyle="1" w:styleId="5">
    <w:name w:val="List Paragraph1"/>
    <w:basedOn w:val="1"/>
    <w:qFormat/>
    <w:uiPriority w:val="34"/>
    <w:pPr>
      <w:spacing w:after="0" w:line="240" w:lineRule="auto"/>
      <w:ind w:left="720"/>
      <w:contextualSpacing/>
    </w:pPr>
    <w:rPr>
      <w:rFonts w:ascii="Calibri" w:hAnsi="Calibri" w:eastAsia="SimSun" w:cs="Times New Roman"/>
      <w:sz w:val="24"/>
      <w:szCs w:val="24"/>
      <w:lang w:val="hr-HR"/>
    </w:rPr>
  </w:style>
  <w:style w:type="character" w:customStyle="1" w:styleId="6">
    <w:name w:val="Body Text 2 Char"/>
    <w:basedOn w:val="3"/>
    <w:link w:val="2"/>
    <w:qFormat/>
    <w:uiPriority w:val="0"/>
    <w:rPr>
      <w:rFonts w:ascii="Calibri" w:hAnsi="Calibri" w:eastAsia="SimSun" w:cs="Times New Roman"/>
      <w:sz w:val="24"/>
      <w:szCs w:val="24"/>
      <w:lang w:val="hr-HR"/>
    </w:rPr>
  </w:style>
  <w:style w:type="paragraph" w:customStyle="1" w:styleId="7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525</Words>
  <Characters>2998</Characters>
  <Lines>24</Lines>
  <Paragraphs>7</Paragraphs>
  <TotalTime>16</TotalTime>
  <ScaleCrop>false</ScaleCrop>
  <LinksUpToDate>false</LinksUpToDate>
  <CharactersWithSpaces>3516</CharactersWithSpaces>
  <Application>WPS Office_10.2.0.7635_F1E327BC-269C-435d-A152-05C5408002CA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2017-02-21T13:13:00Z</dcterms:created>
  <dc:creator>Edina Sudzuka</dc:creator>
  <cp:lastModifiedBy>Edina</cp:lastModifiedBy>
  <dcterms:modified xsi:type="dcterms:W3CDTF">2019-03-12T03:34:23Z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1033-10.2.0.7635</vt:lpwstr>
  </property>
</Properties>
</file>