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Rezultati I parcijalnog ispita iz predmeta Porezno pravo i porezni sistem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Index broj: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broj bodova - ocjena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301 -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 xml:space="preserve"> 25 bodova - 9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274 -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 xml:space="preserve"> 22 boda   - 8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304 -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14,5 bodova - 5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303 -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28,5 bodova - 10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294 -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20 bodova - 7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297 -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11,5 bodova - 5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287 -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9 bodova - 5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307 -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22 boda - 8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214 -    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17 bodova - 6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300 -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20,5 bodova - 7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238 -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21,5 bodova - 7/8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271 -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22,5 bodova - 8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306 -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19 bodova - 7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282 -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24 boda - 8+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290 -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0 bodova - 5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284 -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16,5 bodova - 6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280 -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22 boda - 8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309 -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24 boda - 8+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310 -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17 bodova - 6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273 -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10 bodova - 5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308 -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11,5 bodova -5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283 - </w:t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/>
      </w:r>
      <w:r>
        <w:rPr>
          <w:lang w:val="en-US"/>
        </w:rPr>
        <w:tab/>
        <w:t>16 bodova - 6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Studenti čiji su brojevi indexa: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278/IVa i 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286/IVa </w:t>
      </w:r>
    </w:p>
    <w:p>
      <w:pPr>
        <w:jc w:val="both"/>
        <w:rPr>
          <w:lang w:val="en-US"/>
        </w:rPr>
      </w:pPr>
      <w:r>
        <w:rPr>
          <w:lang w:val="en-US"/>
        </w:rPr>
        <w:t>treba da se jave u vrijeme konsultacija radi nečitkosti pojedinih</w:t>
      </w:r>
      <w:bookmarkStart w:id="0" w:name="_GoBack"/>
      <w:bookmarkEnd w:id="0"/>
      <w:r>
        <w:rPr>
          <w:lang w:val="en-US"/>
        </w:rPr>
        <w:t xml:space="preserve"> odgovora kako bi se isti mogli utvrditi i vrednovati za ocjenu I parcijalnog ispita.</w:t>
      </w: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>Uvid u rad će biti omogućen u terminu konsultacija.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D5FF3B"/>
    <w:multiLevelType w:val="singleLevel"/>
    <w:tmpl w:val="D1D5FF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367E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41336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2019-04-20T11:28:00Z</dcterms:created>
  <dc:creator>Edina</dc:creator>
  <cp:lastModifiedBy>Edina</cp:lastModifiedBy>
  <dcterms:modified xsi:type="dcterms:W3CDTF">2019-04-20T11:57:32Z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