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8D" w:rsidRPr="00D03273" w:rsidRDefault="005C088D" w:rsidP="008770EC">
      <w:pPr>
        <w:jc w:val="both"/>
      </w:pPr>
      <w:bookmarkStart w:id="0" w:name="_GoBack"/>
      <w:bookmarkEnd w:id="0"/>
      <w:proofErr w:type="spellStart"/>
      <w:r w:rsidRPr="00D03273">
        <w:t>Univerzitet</w:t>
      </w:r>
      <w:proofErr w:type="spellEnd"/>
      <w:r w:rsidRPr="00D03273">
        <w:t xml:space="preserve"> u </w:t>
      </w:r>
      <w:proofErr w:type="spellStart"/>
      <w:r w:rsidRPr="00D03273">
        <w:t>Sarajevu</w:t>
      </w:r>
      <w:proofErr w:type="spellEnd"/>
    </w:p>
    <w:p w:rsidR="005C088D" w:rsidRPr="00D03273" w:rsidRDefault="005C088D" w:rsidP="008770EC">
      <w:pPr>
        <w:jc w:val="both"/>
      </w:pPr>
      <w:proofErr w:type="spellStart"/>
      <w:r w:rsidRPr="00D03273">
        <w:t>Pravni</w:t>
      </w:r>
      <w:proofErr w:type="spellEnd"/>
      <w:r w:rsidRPr="00D03273">
        <w:t xml:space="preserve"> </w:t>
      </w:r>
      <w:proofErr w:type="spellStart"/>
      <w:r w:rsidRPr="00D03273">
        <w:t>fakultet</w:t>
      </w:r>
      <w:proofErr w:type="spellEnd"/>
    </w:p>
    <w:p w:rsidR="005C088D" w:rsidRDefault="005C088D" w:rsidP="008770EC">
      <w:pPr>
        <w:jc w:val="both"/>
        <w:rPr>
          <w:b/>
          <w:bCs/>
        </w:rPr>
      </w:pPr>
    </w:p>
    <w:p w:rsidR="005C088D" w:rsidRDefault="005C088D" w:rsidP="008770EC">
      <w:pPr>
        <w:jc w:val="both"/>
        <w:rPr>
          <w:b/>
          <w:bCs/>
        </w:rPr>
      </w:pPr>
      <w:proofErr w:type="spellStart"/>
      <w:r>
        <w:rPr>
          <w:b/>
          <w:bCs/>
        </w:rPr>
        <w:t>Nastavni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predmet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Međunarodno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privatno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pravo</w:t>
      </w:r>
      <w:proofErr w:type="spellEnd"/>
      <w:r>
        <w:rPr>
          <w:b/>
          <w:bCs/>
        </w:rPr>
        <w:t xml:space="preserve"> II</w:t>
      </w:r>
    </w:p>
    <w:p w:rsidR="005C088D" w:rsidRPr="00A83753" w:rsidRDefault="005C088D" w:rsidP="008770EC">
      <w:pPr>
        <w:jc w:val="both"/>
        <w:rPr>
          <w:i/>
          <w:iCs/>
        </w:rPr>
      </w:pPr>
      <w:proofErr w:type="spellStart"/>
      <w:r w:rsidRPr="00A83753">
        <w:rPr>
          <w:i/>
          <w:iCs/>
        </w:rPr>
        <w:t>Predmetni</w:t>
      </w:r>
      <w:proofErr w:type="spellEnd"/>
      <w:r w:rsidRPr="00A83753">
        <w:rPr>
          <w:i/>
          <w:iCs/>
        </w:rPr>
        <w:t xml:space="preserve"> </w:t>
      </w:r>
      <w:proofErr w:type="spellStart"/>
      <w:r w:rsidRPr="00A83753">
        <w:rPr>
          <w:i/>
          <w:iCs/>
        </w:rPr>
        <w:t>nastavnik</w:t>
      </w:r>
      <w:proofErr w:type="spellEnd"/>
      <w:r w:rsidRPr="00A83753">
        <w:rPr>
          <w:i/>
          <w:iCs/>
        </w:rPr>
        <w:t xml:space="preserve">: prof. </w:t>
      </w:r>
      <w:proofErr w:type="spellStart"/>
      <w:r w:rsidRPr="00A83753">
        <w:rPr>
          <w:i/>
          <w:iCs/>
        </w:rPr>
        <w:t>dr</w:t>
      </w:r>
      <w:proofErr w:type="spellEnd"/>
      <w:r w:rsidRPr="00A83753">
        <w:rPr>
          <w:i/>
          <w:iCs/>
        </w:rPr>
        <w:t xml:space="preserve"> Edin </w:t>
      </w:r>
      <w:proofErr w:type="spellStart"/>
      <w:r w:rsidRPr="00A83753">
        <w:rPr>
          <w:i/>
          <w:iCs/>
        </w:rPr>
        <w:t>Muminović</w:t>
      </w:r>
      <w:proofErr w:type="spellEnd"/>
      <w:r w:rsidRPr="00A83753">
        <w:rPr>
          <w:i/>
          <w:iCs/>
        </w:rPr>
        <w:t xml:space="preserve"> </w:t>
      </w:r>
    </w:p>
    <w:p w:rsidR="005C088D" w:rsidRDefault="005C088D" w:rsidP="008770EC">
      <w:pPr>
        <w:jc w:val="both"/>
        <w:rPr>
          <w:b/>
          <w:bCs/>
        </w:rPr>
      </w:pPr>
    </w:p>
    <w:p w:rsidR="005C088D" w:rsidRDefault="005C088D" w:rsidP="008770EC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Izvođenje nastave: </w:t>
      </w:r>
      <w:r>
        <w:rPr>
          <w:lang w:val="pl-PL"/>
        </w:rPr>
        <w:t>ljetni semestar 2018/2019.</w:t>
      </w:r>
      <w:r>
        <w:rPr>
          <w:b/>
          <w:bCs/>
          <w:lang w:val="pl-PL"/>
        </w:rPr>
        <w:t xml:space="preserve"> </w:t>
      </w:r>
    </w:p>
    <w:p w:rsidR="005C088D" w:rsidRPr="00D03273" w:rsidRDefault="005C088D" w:rsidP="008770EC">
      <w:pPr>
        <w:jc w:val="both"/>
        <w:rPr>
          <w:lang w:val="pl-PL"/>
        </w:rPr>
      </w:pPr>
      <w:r>
        <w:rPr>
          <w:lang w:val="pl-PL"/>
        </w:rPr>
        <w:t>Izvedbeni plan</w:t>
      </w:r>
    </w:p>
    <w:p w:rsidR="005C088D" w:rsidRDefault="005C088D" w:rsidP="008770EC">
      <w:pPr>
        <w:pStyle w:val="BodyText"/>
        <w:spacing w:line="36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7060"/>
      </w:tblGrid>
      <w:tr w:rsidR="005C088D">
        <w:tc>
          <w:tcPr>
            <w:tcW w:w="1508" w:type="dxa"/>
          </w:tcPr>
          <w:p w:rsidR="005C088D" w:rsidRDefault="005C088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Semestralna sedmica</w:t>
            </w:r>
          </w:p>
        </w:tc>
        <w:tc>
          <w:tcPr>
            <w:tcW w:w="7060" w:type="dxa"/>
          </w:tcPr>
          <w:p w:rsidR="005C088D" w:rsidRDefault="005C088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Tematska cjelina - predavanja</w:t>
            </w:r>
          </w:p>
        </w:tc>
      </w:tr>
      <w:tr w:rsidR="005C088D">
        <w:trPr>
          <w:trHeight w:val="646"/>
        </w:trPr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I</w:t>
            </w:r>
          </w:p>
          <w:p w:rsidR="005C088D" w:rsidRDefault="005C088D" w:rsidP="001D328F">
            <w:pPr>
              <w:pStyle w:val="BodyText"/>
            </w:pPr>
            <w:r>
              <w:t>04. 03. 2019.</w:t>
            </w:r>
          </w:p>
        </w:tc>
        <w:tc>
          <w:tcPr>
            <w:tcW w:w="7060" w:type="dxa"/>
          </w:tcPr>
          <w:p w:rsidR="005C088D" w:rsidRDefault="005C088D">
            <w:pPr>
              <w:rPr>
                <w:lang w:val="hr-HR"/>
              </w:rPr>
            </w:pPr>
            <w:r>
              <w:rPr>
                <w:lang w:val="hr-HR"/>
              </w:rPr>
              <w:t xml:space="preserve">Upoznavanje studenata sa procesnopravnom dimenzijom prekograničnih privatnopravnih odnosa kroz niz stvarnih i pretpostavljenih pravnih situacija, i izvođenje jasnih argumenata u prilog tome da je nastavni predmet MPP II neophodan u nastavnom planu  pravnog studija. Saopštavanje informacija o obaveznoj i dopunskoj literaturi i  načinu na koji će se odvijati nastavni proces. 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II</w:t>
            </w:r>
          </w:p>
          <w:p w:rsidR="005C088D" w:rsidRDefault="005C088D">
            <w:pPr>
              <w:pStyle w:val="BodyText"/>
            </w:pPr>
            <w:r>
              <w:t>11.03. 2019.</w:t>
            </w:r>
          </w:p>
        </w:tc>
        <w:tc>
          <w:tcPr>
            <w:tcW w:w="7060" w:type="dxa"/>
          </w:tcPr>
          <w:p w:rsidR="005C088D" w:rsidRDefault="005C088D" w:rsidP="00795316">
            <w:pPr>
              <w:rPr>
                <w:lang w:val="hr-HR"/>
              </w:rPr>
            </w:pPr>
            <w:r>
              <w:rPr>
                <w:lang w:val="hr-HR"/>
              </w:rPr>
              <w:t>Analiza toka građanskog sudskog postupka u inostrano obilježenim predmetima koji se tiču privatnopravnih odnosa, i određenih administrativnih postupaka s time vezanih, kako bi studenti jasno uočili da se od inicijacije takvih postupaka, kroz njihov tok, pa i nakon njihovog završetka, moraju primjenjivati procesna pravila koja nisu dio unutrašnjeg procesnog prava domaće države.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III</w:t>
            </w:r>
          </w:p>
          <w:p w:rsidR="005C088D" w:rsidRDefault="005C088D">
            <w:pPr>
              <w:pStyle w:val="BodyText"/>
            </w:pPr>
            <w:r>
              <w:t>18.03. 2019.</w:t>
            </w:r>
          </w:p>
          <w:p w:rsidR="005C088D" w:rsidRDefault="005C088D">
            <w:pPr>
              <w:pStyle w:val="BodyText"/>
            </w:pPr>
          </w:p>
        </w:tc>
        <w:tc>
          <w:tcPr>
            <w:tcW w:w="7060" w:type="dxa"/>
          </w:tcPr>
          <w:p w:rsidR="005C088D" w:rsidRDefault="005C088D">
            <w:pPr>
              <w:rPr>
                <w:lang w:val="hr-HR"/>
              </w:rPr>
            </w:pPr>
            <w:r>
              <w:rPr>
                <w:lang w:val="hr-HR"/>
              </w:rPr>
              <w:t>Razjašnjavanje pojma međunarodne nadležnosti sudskih i drugih organa domaće države i načina na koji se ta nadležnost uspostavlja  u odnosu na organe stranih država i načela na kojima bi takvo međudržavno razgraničenje „internacionalne jurisdikcije“ moglo počivati u odsustvu supranacionalne pravne regulacije.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IV</w:t>
            </w:r>
          </w:p>
          <w:p w:rsidR="005C088D" w:rsidRDefault="005C088D">
            <w:pPr>
              <w:pStyle w:val="BodyText"/>
            </w:pPr>
            <w:r>
              <w:t>25.03. 2019.</w:t>
            </w:r>
          </w:p>
        </w:tc>
        <w:tc>
          <w:tcPr>
            <w:tcW w:w="7060" w:type="dxa"/>
          </w:tcPr>
          <w:p w:rsidR="005C088D" w:rsidRDefault="005C088D">
            <w:pPr>
              <w:rPr>
                <w:lang w:val="hr-HR"/>
              </w:rPr>
            </w:pPr>
            <w:r>
              <w:rPr>
                <w:lang w:val="hr-HR"/>
              </w:rPr>
              <w:t>Kategorizacija pravila o međunarodnoj nadležnosti u nacionalnim i internacionalnim izvorima, sa posebnim osvrtom na izvore unutar Evropske Unije.</w:t>
            </w:r>
          </w:p>
          <w:p w:rsidR="005C088D" w:rsidRDefault="005C088D" w:rsidP="00396275">
            <w:pPr>
              <w:rPr>
                <w:lang w:val="hr-HR"/>
              </w:rPr>
            </w:pPr>
            <w:r>
              <w:rPr>
                <w:lang w:val="hr-HR"/>
              </w:rPr>
              <w:t>Razlog i internacionalni smisao donošenja diferenciranih pravila o međunarodnoj nadležnosti na ona o isključivoj, paralelnoj (konkurentnoj)  i ugovorenoj.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V</w:t>
            </w:r>
          </w:p>
          <w:p w:rsidR="005C088D" w:rsidRDefault="005C088D">
            <w:pPr>
              <w:pStyle w:val="BodyText"/>
            </w:pPr>
            <w:r>
              <w:t>01.04. 2019.</w:t>
            </w:r>
          </w:p>
        </w:tc>
        <w:tc>
          <w:tcPr>
            <w:tcW w:w="7060" w:type="dxa"/>
          </w:tcPr>
          <w:p w:rsidR="005C088D" w:rsidRDefault="005C088D">
            <w:pPr>
              <w:rPr>
                <w:lang w:val="bs-Latn-BA"/>
              </w:rPr>
            </w:pPr>
            <w:r>
              <w:rPr>
                <w:lang w:val="bs-Latn-BA"/>
              </w:rPr>
              <w:t>Razjašnjavanje razloga usljed kojih se u nacionalnim zakonodavstvima, ali i u internacionalnim izvorima, neki privatnopravni odnosi (prema kategoriji, vrsti ili prema konkretnom načinu vezivanja) podvrgavaju isključivoj međunarodnoj nadležnosti.</w:t>
            </w:r>
          </w:p>
          <w:p w:rsidR="005C088D" w:rsidRPr="00396275" w:rsidRDefault="005C088D" w:rsidP="00A7083D">
            <w:pPr>
              <w:rPr>
                <w:lang w:val="bs-Latn-BA"/>
              </w:rPr>
            </w:pPr>
            <w:r>
              <w:rPr>
                <w:lang w:val="bs-Latn-BA"/>
              </w:rPr>
              <w:t>Pravna priroda i smisao izuzetnog propisivanja isključive međunarodne nadležnosti i njene praktične posljedice.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VI</w:t>
            </w:r>
          </w:p>
          <w:p w:rsidR="005C088D" w:rsidRDefault="005C088D">
            <w:pPr>
              <w:pStyle w:val="BodyText"/>
            </w:pPr>
            <w:r>
              <w:t>08.04. 2019.</w:t>
            </w:r>
          </w:p>
        </w:tc>
        <w:tc>
          <w:tcPr>
            <w:tcW w:w="7060" w:type="dxa"/>
          </w:tcPr>
          <w:p w:rsidR="005C088D" w:rsidRPr="00122D67" w:rsidRDefault="005C088D" w:rsidP="00D11E5C">
            <w:proofErr w:type="spellStart"/>
            <w:r>
              <w:t>Konkurentna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paralelna</w:t>
            </w:r>
            <w:proofErr w:type="spellEnd"/>
            <w:r>
              <w:t xml:space="preserve"> </w:t>
            </w:r>
            <w:proofErr w:type="spellStart"/>
            <w:r>
              <w:t>međunarodna</w:t>
            </w:r>
            <w:proofErr w:type="spellEnd"/>
            <w:r>
              <w:t xml:space="preserve"> </w:t>
            </w:r>
            <w:proofErr w:type="spellStart"/>
            <w:r>
              <w:t>nadležnost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pravilo</w:t>
            </w:r>
            <w:proofErr w:type="spellEnd"/>
            <w:r>
              <w:t xml:space="preserve"> u </w:t>
            </w:r>
            <w:proofErr w:type="spellStart"/>
            <w:r>
              <w:t>mpp</w:t>
            </w:r>
            <w:proofErr w:type="spellEnd"/>
            <w:r>
              <w:t xml:space="preserve">. </w:t>
            </w:r>
            <w:proofErr w:type="spellStart"/>
            <w:r>
              <w:t>Njene</w:t>
            </w:r>
            <w:proofErr w:type="spellEnd"/>
            <w:r>
              <w:t xml:space="preserve"> </w:t>
            </w:r>
            <w:proofErr w:type="spellStart"/>
            <w:r>
              <w:t>bitne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preimućstva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isključivoj</w:t>
            </w:r>
            <w:proofErr w:type="spellEnd"/>
            <w:r>
              <w:t xml:space="preserve"> </w:t>
            </w:r>
            <w:proofErr w:type="spellStart"/>
            <w:r>
              <w:t>međunarodnoj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, </w:t>
            </w:r>
            <w:proofErr w:type="spellStart"/>
            <w:r>
              <w:t>posebno</w:t>
            </w:r>
            <w:proofErr w:type="spellEnd"/>
            <w:r>
              <w:t xml:space="preserve"> s </w:t>
            </w:r>
            <w:proofErr w:type="spellStart"/>
            <w:r>
              <w:t>obzirom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to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takav</w:t>
            </w:r>
            <w:proofErr w:type="spellEnd"/>
            <w:r>
              <w:t xml:space="preserve"> vid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nadležnosti</w:t>
            </w:r>
            <w:proofErr w:type="spellEnd"/>
            <w:r>
              <w:t xml:space="preserve"> </w:t>
            </w:r>
            <w:proofErr w:type="spellStart"/>
            <w:r>
              <w:t>podrazumijeva</w:t>
            </w:r>
            <w:proofErr w:type="spellEnd"/>
            <w:r>
              <w:t xml:space="preserve">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priznavanja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izvršavanja</w:t>
            </w:r>
            <w:proofErr w:type="spellEnd"/>
            <w:r>
              <w:t xml:space="preserve"> </w:t>
            </w:r>
            <w:proofErr w:type="spellStart"/>
            <w:r>
              <w:t>stranih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te</w:t>
            </w:r>
            <w:proofErr w:type="spellEnd"/>
            <w:r>
              <w:t xml:space="preserve">  </w:t>
            </w:r>
            <w:proofErr w:type="spellStart"/>
            <w:r>
              <w:t>daje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opcije</w:t>
            </w:r>
            <w:proofErr w:type="spellEnd"/>
            <w:r>
              <w:t xml:space="preserve"> </w:t>
            </w:r>
            <w:proofErr w:type="spellStart"/>
            <w:r>
              <w:t>podnosiocu</w:t>
            </w:r>
            <w:proofErr w:type="spellEnd"/>
            <w:r>
              <w:t xml:space="preserve"> </w:t>
            </w:r>
            <w:proofErr w:type="spellStart"/>
            <w:r>
              <w:t>zahtjeva</w:t>
            </w:r>
            <w:proofErr w:type="spellEnd"/>
            <w:r>
              <w:t xml:space="preserve">. Problem </w:t>
            </w:r>
            <w:proofErr w:type="spellStart"/>
            <w:r>
              <w:t>dvostruke</w:t>
            </w:r>
            <w:proofErr w:type="spellEnd"/>
            <w:r>
              <w:t xml:space="preserve">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litis</w:t>
            </w:r>
            <w:proofErr w:type="spellEnd"/>
            <w:r>
              <w:t xml:space="preserve"> </w:t>
            </w:r>
            <w:proofErr w:type="spellStart"/>
            <w:r>
              <w:t>pendencije</w:t>
            </w:r>
            <w:proofErr w:type="spellEnd"/>
            <w:r>
              <w:t xml:space="preserve">. </w:t>
            </w:r>
          </w:p>
        </w:tc>
      </w:tr>
      <w:tr w:rsidR="005C088D">
        <w:trPr>
          <w:trHeight w:val="1074"/>
        </w:trPr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VII</w:t>
            </w:r>
          </w:p>
          <w:p w:rsidR="005C088D" w:rsidRDefault="005C088D">
            <w:pPr>
              <w:pStyle w:val="BodyText"/>
            </w:pPr>
            <w:r>
              <w:t>15.04.2019.</w:t>
            </w:r>
          </w:p>
        </w:tc>
        <w:tc>
          <w:tcPr>
            <w:tcW w:w="7060" w:type="dxa"/>
          </w:tcPr>
          <w:p w:rsidR="005C088D" w:rsidRPr="0007322E" w:rsidRDefault="005C088D">
            <w:pPr>
              <w:rPr>
                <w:lang w:val="hr-HR"/>
              </w:rPr>
            </w:pPr>
            <w:r>
              <w:rPr>
                <w:lang w:val="hr-HR"/>
              </w:rPr>
              <w:t>Uticaj volje stranaka u građanskoj i trgovačkoj materiji na mijenjanje zakonom utvrđene konkurentne međunarodne nadležnosti sudova i ustanovljavanje vansudske nadležnosti spoljnotrgovinskih arbitraža.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lastRenderedPageBreak/>
              <w:t>VIII</w:t>
            </w:r>
          </w:p>
          <w:p w:rsidR="005C088D" w:rsidRDefault="005C088D">
            <w:pPr>
              <w:pStyle w:val="BodyText"/>
            </w:pPr>
            <w:r>
              <w:t>22.04.2019.</w:t>
            </w:r>
          </w:p>
        </w:tc>
        <w:tc>
          <w:tcPr>
            <w:tcW w:w="7060" w:type="dxa"/>
          </w:tcPr>
          <w:p w:rsidR="005C088D" w:rsidRPr="0007322E" w:rsidRDefault="005C088D" w:rsidP="00122D67">
            <w:pPr>
              <w:rPr>
                <w:lang w:val="pl-PL"/>
              </w:rPr>
            </w:pPr>
            <w:r>
              <w:rPr>
                <w:lang w:val="pl-PL"/>
              </w:rPr>
              <w:t>Problem eksteritorijalnog važenja sudskih i arbitražnih odluka . Rješavanje ovog problema na supranacionalnom nivou i na nivou nacionalnih zakonodavstava</w:t>
            </w:r>
          </w:p>
        </w:tc>
      </w:tr>
      <w:tr w:rsidR="005C088D">
        <w:tc>
          <w:tcPr>
            <w:tcW w:w="1508" w:type="dxa"/>
          </w:tcPr>
          <w:p w:rsidR="005C088D" w:rsidRPr="00323993" w:rsidRDefault="005C088D">
            <w:pPr>
              <w:pStyle w:val="BodyText"/>
              <w:rPr>
                <w:b/>
                <w:bCs/>
              </w:rPr>
            </w:pPr>
            <w:r w:rsidRPr="00323993">
              <w:rPr>
                <w:b/>
                <w:bCs/>
              </w:rPr>
              <w:t>IX</w:t>
            </w:r>
          </w:p>
          <w:p w:rsidR="005C088D" w:rsidRDefault="005C088D">
            <w:pPr>
              <w:pStyle w:val="BodyText"/>
            </w:pPr>
            <w:r>
              <w:rPr>
                <w:b/>
                <w:bCs/>
              </w:rPr>
              <w:t>29. 04. 2019</w:t>
            </w:r>
            <w:r w:rsidRPr="00323993">
              <w:rPr>
                <w:b/>
                <w:bCs/>
              </w:rPr>
              <w:t>.</w:t>
            </w:r>
          </w:p>
        </w:tc>
        <w:tc>
          <w:tcPr>
            <w:tcW w:w="7060" w:type="dxa"/>
          </w:tcPr>
          <w:p w:rsidR="005C088D" w:rsidRDefault="005C088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Semestralna provjera znanja.</w:t>
            </w:r>
          </w:p>
          <w:p w:rsidR="005C088D" w:rsidRPr="00515245" w:rsidRDefault="005C088D" w:rsidP="00122D67">
            <w:pPr>
              <w:rPr>
                <w:lang w:val="hr-HR"/>
              </w:rPr>
            </w:pPr>
            <w:r>
              <w:rPr>
                <w:lang w:val="hr-HR"/>
              </w:rPr>
              <w:t>Način provjere: prema opciji studenta, pismeni (test) ili usmeni (razgovor).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X</w:t>
            </w:r>
          </w:p>
          <w:p w:rsidR="005C088D" w:rsidRDefault="005C088D">
            <w:pPr>
              <w:pStyle w:val="BodyText"/>
            </w:pPr>
            <w:r>
              <w:t>06.05.2019.</w:t>
            </w:r>
          </w:p>
        </w:tc>
        <w:tc>
          <w:tcPr>
            <w:tcW w:w="7060" w:type="dxa"/>
          </w:tcPr>
          <w:p w:rsidR="005C088D" w:rsidRDefault="005C088D">
            <w:pPr>
              <w:rPr>
                <w:lang w:val="hr-HR"/>
              </w:rPr>
            </w:pPr>
            <w:r>
              <w:rPr>
                <w:lang w:val="hr-HR"/>
              </w:rPr>
              <w:t xml:space="preserve"> Uticaj stranog državljanstva fizičke osobe ili strane nacionalne pripadnosti pravne osobe na kapacitet tih osoba kada se pojavljuju kao subjekti privatnopravnih odnosa u domaćoj državi.</w:t>
            </w:r>
          </w:p>
          <w:p w:rsidR="005C088D" w:rsidRPr="0058399B" w:rsidRDefault="005C088D" w:rsidP="00122D67">
            <w:pPr>
              <w:rPr>
                <w:lang w:val="hr-HR"/>
              </w:rPr>
            </w:pPr>
            <w:r>
              <w:rPr>
                <w:lang w:val="hr-HR"/>
              </w:rPr>
              <w:t>Procesnopravni položaj stranih osoba u postupku pred domaćim organima.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XI</w:t>
            </w:r>
          </w:p>
          <w:p w:rsidR="005C088D" w:rsidRDefault="005C088D">
            <w:pPr>
              <w:pStyle w:val="BodyText"/>
            </w:pPr>
            <w:r>
              <w:t>13.05.2019.</w:t>
            </w:r>
          </w:p>
        </w:tc>
        <w:tc>
          <w:tcPr>
            <w:tcW w:w="7060" w:type="dxa"/>
          </w:tcPr>
          <w:p w:rsidR="005C088D" w:rsidRPr="00515245" w:rsidRDefault="005C088D" w:rsidP="00122D67">
            <w:pPr>
              <w:rPr>
                <w:lang w:val="bs-Latn-BA"/>
              </w:rPr>
            </w:pPr>
            <w:r>
              <w:rPr>
                <w:lang w:val="hr-HR"/>
              </w:rPr>
              <w:t>Uticaj svojstva stranca u građanskom sudskom postupku i u specifičnim administrativnopravnim postupcima pred domaćim organima. Upotreba stranih javnih isprava u postupku pred domaćim organima.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XII</w:t>
            </w:r>
          </w:p>
          <w:p w:rsidR="005C088D" w:rsidRDefault="005C088D">
            <w:pPr>
              <w:pStyle w:val="BodyText"/>
            </w:pPr>
            <w:r>
              <w:t>20.05.2019.</w:t>
            </w:r>
          </w:p>
        </w:tc>
        <w:tc>
          <w:tcPr>
            <w:tcW w:w="7060" w:type="dxa"/>
          </w:tcPr>
          <w:p w:rsidR="005C088D" w:rsidRDefault="005C088D" w:rsidP="0058399B">
            <w:pPr>
              <w:rPr>
                <w:lang w:val="hr-HR"/>
              </w:rPr>
            </w:pPr>
            <w:r>
              <w:rPr>
                <w:lang w:val="hr-HR"/>
              </w:rPr>
              <w:t>Uticaj svojstva stranca u imovinskopravnim, porodičnopravnim i nasljednopravnim odnosima.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XIII</w:t>
            </w:r>
          </w:p>
          <w:p w:rsidR="005C088D" w:rsidRDefault="005C088D">
            <w:pPr>
              <w:pStyle w:val="BodyText"/>
            </w:pPr>
            <w:r>
              <w:t>27.05.2019.</w:t>
            </w:r>
          </w:p>
        </w:tc>
        <w:tc>
          <w:tcPr>
            <w:tcW w:w="7060" w:type="dxa"/>
          </w:tcPr>
          <w:p w:rsidR="005C088D" w:rsidRDefault="005C088D" w:rsidP="00EC36FA">
            <w:pPr>
              <w:rPr>
                <w:lang w:val="hr-HR"/>
              </w:rPr>
            </w:pPr>
            <w:r>
              <w:rPr>
                <w:lang w:val="hr-HR"/>
              </w:rPr>
              <w:t>Međunarodna pravna pomoć u građanskim stvarima. Bilateralni osnov i multilateralni osnov. Važnost faktičkog reciprociteta.</w:t>
            </w:r>
          </w:p>
        </w:tc>
      </w:tr>
      <w:tr w:rsidR="005C088D">
        <w:tc>
          <w:tcPr>
            <w:tcW w:w="1508" w:type="dxa"/>
          </w:tcPr>
          <w:p w:rsidR="005C088D" w:rsidRDefault="005C088D">
            <w:pPr>
              <w:pStyle w:val="BodyText"/>
            </w:pPr>
            <w:r>
              <w:t>XIV</w:t>
            </w:r>
          </w:p>
          <w:p w:rsidR="005C088D" w:rsidRDefault="005C088D">
            <w:pPr>
              <w:pStyle w:val="BodyText"/>
            </w:pPr>
            <w:r>
              <w:t>03.06.2019.</w:t>
            </w:r>
          </w:p>
        </w:tc>
        <w:tc>
          <w:tcPr>
            <w:tcW w:w="7060" w:type="dxa"/>
          </w:tcPr>
          <w:p w:rsidR="005C088D" w:rsidRDefault="005C088D" w:rsidP="00C71879">
            <w:pPr>
              <w:rPr>
                <w:lang w:val="hr-HR"/>
              </w:rPr>
            </w:pPr>
            <w:r>
              <w:rPr>
                <w:lang w:val="hr-HR"/>
              </w:rPr>
              <w:t>Praktični značaj haških konvencija koje uređuju pitanja pristupa pravosuđu na međunarodnom planu, i mehanizam traženja i pružanja međunarodne pomoći među organima država ugovornica.</w:t>
            </w:r>
          </w:p>
        </w:tc>
      </w:tr>
      <w:tr w:rsidR="005C088D">
        <w:tc>
          <w:tcPr>
            <w:tcW w:w="1508" w:type="dxa"/>
          </w:tcPr>
          <w:p w:rsidR="005C088D" w:rsidRPr="00323993" w:rsidRDefault="005C088D">
            <w:pPr>
              <w:pStyle w:val="BodyText"/>
              <w:rPr>
                <w:b/>
                <w:bCs/>
              </w:rPr>
            </w:pPr>
            <w:r w:rsidRPr="00323993">
              <w:rPr>
                <w:b/>
                <w:bCs/>
              </w:rPr>
              <w:t>XV</w:t>
            </w:r>
          </w:p>
          <w:p w:rsidR="005C088D" w:rsidRDefault="005C088D">
            <w:pPr>
              <w:pStyle w:val="BodyText"/>
            </w:pPr>
            <w:r>
              <w:rPr>
                <w:b/>
                <w:bCs/>
              </w:rPr>
              <w:t>10.06. 2019</w:t>
            </w:r>
            <w:r w:rsidRPr="00323993">
              <w:rPr>
                <w:b/>
                <w:bCs/>
              </w:rPr>
              <w:t>.</w:t>
            </w:r>
          </w:p>
        </w:tc>
        <w:tc>
          <w:tcPr>
            <w:tcW w:w="7060" w:type="dxa"/>
          </w:tcPr>
          <w:p w:rsidR="005C088D" w:rsidRDefault="005C088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Zavr</w:t>
            </w:r>
            <w:proofErr w:type="spellEnd"/>
            <w:r>
              <w:rPr>
                <w:b/>
                <w:bCs/>
                <w:lang w:val="hr-HR"/>
              </w:rPr>
              <w:t>š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provjera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znanja</w:t>
            </w:r>
            <w:proofErr w:type="spellEnd"/>
            <w:r>
              <w:rPr>
                <w:b/>
                <w:bCs/>
              </w:rPr>
              <w:t>.</w:t>
            </w:r>
          </w:p>
          <w:p w:rsidR="005C088D" w:rsidRDefault="005C088D" w:rsidP="00D32765">
            <w:pPr>
              <w:rPr>
                <w:b/>
                <w:bCs/>
                <w:lang w:val="hr-HR"/>
              </w:rPr>
            </w:pP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provjere</w:t>
            </w:r>
            <w:proofErr w:type="spellEnd"/>
            <w:r>
              <w:t xml:space="preserve">: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razgovor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kandidatima</w:t>
            </w:r>
            <w:proofErr w:type="spellEnd"/>
            <w:r>
              <w:t xml:space="preserve"> </w:t>
            </w:r>
            <w:proofErr w:type="spellStart"/>
            <w:r>
              <w:t>stvoriti</w:t>
            </w:r>
            <w:proofErr w:type="spellEnd"/>
            <w:r>
              <w:t xml:space="preserve"> </w:t>
            </w:r>
            <w:proofErr w:type="spellStart"/>
            <w:r>
              <w:t>potpunija</w:t>
            </w:r>
            <w:proofErr w:type="spellEnd"/>
            <w:r>
              <w:t xml:space="preserve"> </w:t>
            </w:r>
            <w:proofErr w:type="spellStart"/>
            <w:r>
              <w:t>slika</w:t>
            </w:r>
            <w:proofErr w:type="spellEnd"/>
            <w:r>
              <w:t xml:space="preserve"> o </w:t>
            </w:r>
            <w:proofErr w:type="spellStart"/>
            <w:r>
              <w:t>njihovom</w:t>
            </w:r>
            <w:proofErr w:type="spellEnd"/>
            <w:r>
              <w:t xml:space="preserve"> </w:t>
            </w:r>
            <w:proofErr w:type="spellStart"/>
            <w:r>
              <w:t>stečenom</w:t>
            </w:r>
            <w:proofErr w:type="spellEnd"/>
            <w:r>
              <w:t xml:space="preserve"> </w:t>
            </w:r>
            <w:proofErr w:type="spellStart"/>
            <w:r>
              <w:t>znanju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njihovoj</w:t>
            </w:r>
            <w:proofErr w:type="spellEnd"/>
            <w:r>
              <w:t xml:space="preserve"> </w:t>
            </w:r>
            <w:proofErr w:type="spellStart"/>
            <w:r>
              <w:t>spremnosti</w:t>
            </w:r>
            <w:proofErr w:type="spellEnd"/>
            <w:r>
              <w:t xml:space="preserve"> da to </w:t>
            </w:r>
            <w:proofErr w:type="spellStart"/>
            <w:r>
              <w:t>znanje</w:t>
            </w:r>
            <w:proofErr w:type="spellEnd"/>
            <w:r>
              <w:t xml:space="preserve"> u </w:t>
            </w:r>
            <w:proofErr w:type="spellStart"/>
            <w:r>
              <w:t>pravnoj</w:t>
            </w:r>
            <w:proofErr w:type="spellEnd"/>
            <w:r>
              <w:t xml:space="preserve"> </w:t>
            </w:r>
            <w:proofErr w:type="spellStart"/>
            <w:r>
              <w:t>praksi</w:t>
            </w:r>
            <w:proofErr w:type="spellEnd"/>
            <w:r>
              <w:t xml:space="preserve"> </w:t>
            </w:r>
            <w:proofErr w:type="spellStart"/>
            <w:r>
              <w:t>pretvore</w:t>
            </w:r>
            <w:proofErr w:type="spellEnd"/>
            <w:r>
              <w:t xml:space="preserve"> u </w:t>
            </w:r>
            <w:proofErr w:type="spellStart"/>
            <w:r>
              <w:t>stručnu</w:t>
            </w:r>
            <w:proofErr w:type="spellEnd"/>
            <w:r>
              <w:t xml:space="preserve"> </w:t>
            </w:r>
            <w:proofErr w:type="spellStart"/>
            <w:r>
              <w:t>vještinu</w:t>
            </w:r>
            <w:proofErr w:type="spellEnd"/>
            <w:r>
              <w:t>.</w:t>
            </w:r>
          </w:p>
        </w:tc>
      </w:tr>
    </w:tbl>
    <w:p w:rsidR="005C088D" w:rsidRDefault="005C088D"/>
    <w:sectPr w:rsidR="005C088D" w:rsidSect="009A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C"/>
    <w:rsid w:val="000272D7"/>
    <w:rsid w:val="0003769B"/>
    <w:rsid w:val="0007322E"/>
    <w:rsid w:val="00093A0F"/>
    <w:rsid w:val="00122D67"/>
    <w:rsid w:val="001D328F"/>
    <w:rsid w:val="002526F1"/>
    <w:rsid w:val="002A67A5"/>
    <w:rsid w:val="002E621A"/>
    <w:rsid w:val="00323993"/>
    <w:rsid w:val="003426ED"/>
    <w:rsid w:val="00381654"/>
    <w:rsid w:val="00396275"/>
    <w:rsid w:val="003F3766"/>
    <w:rsid w:val="004933E6"/>
    <w:rsid w:val="004C73F2"/>
    <w:rsid w:val="00515245"/>
    <w:rsid w:val="0058399B"/>
    <w:rsid w:val="005A1E13"/>
    <w:rsid w:val="005C088D"/>
    <w:rsid w:val="005C6EEB"/>
    <w:rsid w:val="00632E75"/>
    <w:rsid w:val="006436A8"/>
    <w:rsid w:val="00656192"/>
    <w:rsid w:val="00763F3A"/>
    <w:rsid w:val="00794F68"/>
    <w:rsid w:val="00795316"/>
    <w:rsid w:val="008770EC"/>
    <w:rsid w:val="008B288F"/>
    <w:rsid w:val="008D76DC"/>
    <w:rsid w:val="008E2603"/>
    <w:rsid w:val="00901D9A"/>
    <w:rsid w:val="00987784"/>
    <w:rsid w:val="009A7E60"/>
    <w:rsid w:val="00A02E39"/>
    <w:rsid w:val="00A7083D"/>
    <w:rsid w:val="00A83753"/>
    <w:rsid w:val="00AE2C3A"/>
    <w:rsid w:val="00BB4A88"/>
    <w:rsid w:val="00C71879"/>
    <w:rsid w:val="00D03273"/>
    <w:rsid w:val="00D11E5C"/>
    <w:rsid w:val="00D32765"/>
    <w:rsid w:val="00DA379D"/>
    <w:rsid w:val="00DE516F"/>
    <w:rsid w:val="00EC36FA"/>
    <w:rsid w:val="00ED52FF"/>
    <w:rsid w:val="00F141F6"/>
    <w:rsid w:val="00F81ADA"/>
    <w:rsid w:val="00FA15C1"/>
    <w:rsid w:val="00FD5714"/>
    <w:rsid w:val="00FE1EAA"/>
    <w:rsid w:val="00FE2A42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7B9FD-3541-4F42-99E1-E201697E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8770EC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uiPriority w:val="99"/>
    <w:semiHidden/>
    <w:locked/>
    <w:rsid w:val="008770EC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770EC"/>
    <w:rPr>
      <w:rFonts w:ascii="Times New Roman" w:hAnsi="Times New Roman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BetasIRC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 18</cp:lastModifiedBy>
  <cp:revision>2</cp:revision>
  <dcterms:created xsi:type="dcterms:W3CDTF">2019-03-20T12:49:00Z</dcterms:created>
  <dcterms:modified xsi:type="dcterms:W3CDTF">2019-03-20T12:49:00Z</dcterms:modified>
</cp:coreProperties>
</file>