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Izvedbeni plan nastave na izbornom predmetu</w:t>
      </w:r>
    </w:p>
    <w:p>
      <w:pPr>
        <w:spacing w:line="36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MONETARNO I BANKARSKO PRAVO u VIII semestru </w:t>
      </w:r>
    </w:p>
    <w:p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 I ciklusu studija u akademskoj 201</w:t>
      </w:r>
      <w:r>
        <w:rPr>
          <w:rFonts w:ascii="Arial" w:hAnsi="Arial"/>
          <w:b/>
          <w:bCs/>
          <w:lang w:val="en-US"/>
        </w:rPr>
        <w:t>8</w:t>
      </w:r>
      <w:r>
        <w:rPr>
          <w:rFonts w:ascii="Arial" w:hAnsi="Arial"/>
          <w:b/>
          <w:bCs/>
        </w:rPr>
        <w:t>/1</w:t>
      </w:r>
      <w:r>
        <w:rPr>
          <w:rFonts w:ascii="Arial" w:hAnsi="Arial"/>
          <w:b/>
          <w:bCs/>
          <w:lang w:val="en-US"/>
        </w:rPr>
        <w:t>9</w:t>
      </w:r>
      <w:r>
        <w:rPr>
          <w:rFonts w:ascii="Arial" w:hAnsi="Arial"/>
          <w:b/>
          <w:bCs/>
        </w:rPr>
        <w:t>. godini</w:t>
      </w:r>
    </w:p>
    <w:p>
      <w:pPr>
        <w:rPr>
          <w:rFonts w:ascii="Arial" w:hAnsi="Arial"/>
          <w:b/>
          <w:bCs/>
        </w:rPr>
      </w:pPr>
    </w:p>
    <w:tbl>
      <w:tblPr>
        <w:tblStyle w:val="3"/>
        <w:tblW w:w="8657" w:type="dxa"/>
        <w:tblInd w:w="-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653"/>
        <w:gridCol w:w="4529"/>
        <w:gridCol w:w="1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sedmica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Datum/</w:t>
            </w: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sedmica</w:t>
            </w:r>
          </w:p>
        </w:tc>
        <w:tc>
          <w:tcPr>
            <w:tcW w:w="4529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Teme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časova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u w:val="none"/>
              </w:rPr>
            </w:pPr>
            <w:r>
              <w:rPr>
                <w:rFonts w:ascii="Arial" w:hAnsi="Arial"/>
                <w:b/>
                <w:bCs/>
                <w:u w:val="none"/>
              </w:rPr>
              <w:t>I</w:t>
            </w:r>
          </w:p>
          <w:p>
            <w:pPr>
              <w:jc w:val="center"/>
              <w:rPr>
                <w:rFonts w:ascii="Arial" w:hAnsi="Arial"/>
                <w:b/>
                <w:bCs/>
                <w:u w:val="none"/>
                <w:lang w:val="en-US"/>
              </w:rPr>
            </w:pPr>
            <w:r>
              <w:rPr>
                <w:rFonts w:ascii="Arial" w:hAnsi="Arial"/>
                <w:b/>
                <w:bCs/>
                <w:u w:val="none"/>
                <w:lang w:val="en-US"/>
              </w:rPr>
              <w:t>i</w:t>
            </w:r>
          </w:p>
          <w:p>
            <w:pPr>
              <w:jc w:val="center"/>
              <w:rPr>
                <w:rFonts w:ascii="Arial" w:hAnsi="Arial"/>
                <w:b/>
                <w:bCs/>
                <w:u w:val="none"/>
                <w:lang w:val="en-US"/>
              </w:rPr>
            </w:pPr>
            <w:r>
              <w:rPr>
                <w:rFonts w:ascii="Arial" w:hAnsi="Arial"/>
                <w:b/>
                <w:bCs/>
              </w:rPr>
              <w:t>II</w:t>
            </w:r>
          </w:p>
        </w:tc>
        <w:tc>
          <w:tcPr>
            <w:tcW w:w="1653" w:type="dxa"/>
          </w:tcPr>
          <w:p>
            <w:pPr>
              <w:numPr>
                <w:numId w:val="0"/>
              </w:numPr>
              <w:rPr>
                <w:rFonts w:ascii="Calibri" w:hAnsi="Calibri" w:eastAsia="MS Mincho" w:cs="Calibri"/>
                <w:sz w:val="22"/>
                <w:szCs w:val="22"/>
                <w:lang w:eastAsia="en-US"/>
              </w:rPr>
            </w:pPr>
          </w:p>
          <w:p>
            <w:pPr>
              <w:numPr>
                <w:numId w:val="0"/>
              </w:num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5.3.2019.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17:00 -20:15</w:t>
            </w:r>
          </w:p>
        </w:tc>
        <w:tc>
          <w:tcPr>
            <w:tcW w:w="4529" w:type="dxa"/>
          </w:tcPr>
          <w:p>
            <w:pPr>
              <w:rPr>
                <w:i/>
                <w:iCs/>
              </w:rPr>
            </w:pPr>
            <w:r>
              <w:rPr>
                <w:rFonts w:ascii="Arial" w:hAnsi="Arial"/>
                <w:i/>
                <w:iCs/>
                <w:color w:val="808080"/>
              </w:rPr>
              <w:t xml:space="preserve"> </w:t>
            </w:r>
            <w:r>
              <w:rPr>
                <w:i/>
                <w:iCs/>
              </w:rPr>
              <w:t xml:space="preserve">Uvodno predavanje, </w:t>
            </w:r>
            <w:r>
              <w:rPr>
                <w:i/>
                <w:iCs/>
                <w:lang w:val="en-US"/>
              </w:rPr>
              <w:t xml:space="preserve">upoznavanje sa </w:t>
            </w:r>
            <w:r>
              <w:rPr>
                <w:i/>
                <w:iCs/>
              </w:rPr>
              <w:t>način</w:t>
            </w:r>
            <w:r>
              <w:rPr>
                <w:i/>
                <w:iCs/>
                <w:lang w:val="en-US"/>
              </w:rPr>
              <w:t>om</w:t>
            </w:r>
            <w:r>
              <w:rPr>
                <w:i/>
                <w:iCs/>
              </w:rPr>
              <w:t xml:space="preserve"> rada, način</w:t>
            </w:r>
            <w:r>
              <w:rPr>
                <w:i/>
                <w:iCs/>
                <w:lang w:val="en-US"/>
              </w:rPr>
              <w:t>om</w:t>
            </w:r>
            <w:r>
              <w:rPr>
                <w:i/>
                <w:iCs/>
              </w:rPr>
              <w:t xml:space="preserve"> ocjenjivanja, nastavnim sadržajem, predmetom izučavanja Monetarnog i bankarskog prava</w:t>
            </w:r>
          </w:p>
          <w:p>
            <w:pPr>
              <w:rPr>
                <w:i/>
                <w:iCs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Pojam i historijski razvoj monetarnih finansija i monetarnog prava; </w:t>
            </w:r>
          </w:p>
          <w:p>
            <w:pPr>
              <w:rPr>
                <w:i/>
                <w:iCs/>
              </w:rPr>
            </w:pPr>
            <w:r>
              <w:rPr>
                <w:b/>
              </w:rPr>
              <w:t>Historijski razvoj bankarstva i bankarsko pravo;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</w:rPr>
              <w:t>III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</w:t>
            </w:r>
            <w:r>
              <w:rPr>
                <w:rFonts w:ascii="Arial" w:hAnsi="Arial"/>
                <w:b/>
                <w:bCs/>
              </w:rPr>
              <w:t>IV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19.3.2019.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17:00 -20:15</w:t>
            </w:r>
          </w:p>
        </w:tc>
        <w:tc>
          <w:tcPr>
            <w:tcW w:w="4529" w:type="dxa"/>
          </w:tcPr>
          <w:p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Odnos fiskalnog i monetarnog prava i politike;</w:t>
            </w:r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>Novac i funkcije novca;</w:t>
            </w:r>
          </w:p>
          <w:p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Monetarni suverenitet;</w:t>
            </w:r>
          </w:p>
          <w:p>
            <w:pPr>
              <w:rPr>
                <w:b/>
              </w:rPr>
            </w:pPr>
            <w:r>
              <w:rPr>
                <w:b/>
              </w:rPr>
              <w:t>Platni promet;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Monetarno pravo</w:t>
            </w:r>
          </w:p>
          <w:p>
            <w:pPr>
              <w:rPr>
                <w:b/>
              </w:rPr>
            </w:pPr>
            <w:r>
              <w:rPr>
                <w:b/>
              </w:rPr>
              <w:t>Monetarno-kreditna politika, ciljevi i instrumenti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Centralno bankarstvo</w:t>
            </w:r>
          </w:p>
          <w:p>
            <w:pPr>
              <w:jc w:val="both"/>
              <w:rPr>
                <w:b/>
                <w:lang w:val="en-US"/>
              </w:rPr>
            </w:pPr>
            <w:r>
              <w:rPr>
                <w:b/>
                <w:bCs/>
                <w:lang w:val="en-US"/>
              </w:rPr>
              <w:t>CB BiH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</w:t>
            </w:r>
            <w:r>
              <w:rPr>
                <w:rFonts w:ascii="Arial" w:hAnsi="Arial"/>
                <w:b/>
                <w:bCs/>
              </w:rPr>
              <w:t>VI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2.4.201</w:t>
            </w:r>
            <w:bookmarkStart w:id="0" w:name="_GoBack"/>
            <w:bookmarkEnd w:id="0"/>
            <w:r>
              <w:rPr>
                <w:rFonts w:ascii="Arial" w:hAnsi="Arial"/>
                <w:b/>
                <w:bCs/>
                <w:lang w:val="en-US"/>
              </w:rPr>
              <w:t>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17:00 -20:15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Centralno bankarstvo u BiH, regiji i svijetu;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ECB, FED;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Valutni odbori;</w:t>
            </w:r>
          </w:p>
          <w:p>
            <w:pPr>
              <w:rPr>
                <w:b/>
                <w:bCs/>
                <w:lang w:val="en-US"/>
              </w:rPr>
            </w:pP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Valute, valutna konvertibilnost;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Devize, devizno poslovanje; devizni kurs;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Dolar, Euro, Funta sterling, Jen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Berzansko pravo; Sarajevska berza;</w:t>
            </w:r>
          </w:p>
          <w:p>
            <w:pPr>
              <w:rPr>
                <w:b/>
                <w:bCs/>
                <w:lang w:val="en-US"/>
              </w:rPr>
            </w:pPr>
          </w:p>
          <w:p>
            <w:pPr>
              <w:rPr>
                <w:b/>
                <w:bCs/>
                <w:lang w:val="en-US"/>
              </w:rPr>
            </w:pP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none"/>
              </w:rPr>
              <w:t>VII</w:t>
            </w:r>
            <w:r>
              <w:rPr>
                <w:rFonts w:ascii="Arial" w:hAnsi="Arial"/>
                <w:b/>
                <w:bCs/>
                <w:u w:val="none"/>
                <w:lang w:val="en-US"/>
              </w:rPr>
              <w:t xml:space="preserve"> i VIII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9.4.2019.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17:00 -20:15</w:t>
            </w:r>
          </w:p>
        </w:tc>
        <w:tc>
          <w:tcPr>
            <w:tcW w:w="4529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parcijalni ispit 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IX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X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16.4.2019.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17:00 -20:15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Bankarski sistem i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bankarsko pravo 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Investicijsko bankarstvo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Razvojna banka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Islamsko bankarstvo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Bankarsko poslovanje u uvjetima digitalizacije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</w:t>
            </w:r>
            <w:r>
              <w:rPr>
                <w:rFonts w:ascii="Arial" w:hAnsi="Arial"/>
                <w:b/>
                <w:bCs/>
              </w:rPr>
              <w:t>XII</w:t>
            </w:r>
          </w:p>
        </w:tc>
        <w:tc>
          <w:tcPr>
            <w:tcW w:w="1653" w:type="dxa"/>
          </w:tcPr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7.5.2019.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17:00 -20:15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Supervizija banaka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bankarstvo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Ombudsmen za bankarski sistem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Zaštita korisnika finansijskih usluga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Bankarska tajna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Banke u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osiguranje depozita 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Sprečavanje pranja novca i finansiranja terorizma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Finansijske i bankarske krize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  <w:vAlign w:val="top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/>
                <w:b/>
                <w:bCs/>
              </w:rPr>
              <w:t>XIII</w:t>
            </w:r>
            <w:r>
              <w:rPr>
                <w:rFonts w:ascii="Arial" w:hAnsi="Arial"/>
                <w:b/>
                <w:bCs/>
                <w:lang w:val="en-US"/>
              </w:rPr>
              <w:t xml:space="preserve"> i </w:t>
            </w:r>
            <w:r>
              <w:rPr>
                <w:rFonts w:ascii="Arial" w:hAnsi="Arial"/>
                <w:b/>
                <w:bCs/>
              </w:rPr>
              <w:t>XIV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14.5.2019.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17:00 -20:15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Finansijski sistem 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Finansijske usluge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Krediti - pojam, vrste, namjene, ciljevi i efekti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Kamate, kamatne stope i kamatni rizici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Razlozi i efekti međunarodnih kreditnih zaduženja država;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Mikrokreditne organizacije - vrste i efekti (mikro)kredita;</w:t>
            </w:r>
            <w:r>
              <w:rPr>
                <w:lang w:val="en-US"/>
              </w:rPr>
              <w:t xml:space="preserve">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štedno-kreditne organizacije; mjenjačnice;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" w:hRule="atLeast"/>
        </w:trPr>
        <w:tc>
          <w:tcPr>
            <w:tcW w:w="1225" w:type="dxa"/>
            <w:vAlign w:val="top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ind w:firstLine="240" w:firstLineChars="100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XV</w:t>
            </w:r>
          </w:p>
        </w:tc>
        <w:tc>
          <w:tcPr>
            <w:tcW w:w="1653" w:type="dxa"/>
          </w:tcPr>
          <w:p>
            <w:pPr>
              <w:rPr>
                <w:rFonts w:ascii="Arial" w:hAnsi="Arial"/>
                <w:b/>
                <w:bCs/>
              </w:rPr>
            </w:pP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28.5.2019.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</w:p>
          <w:p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17:00 - 18:30</w:t>
            </w:r>
          </w:p>
        </w:tc>
        <w:tc>
          <w:tcPr>
            <w:tcW w:w="4529" w:type="dxa"/>
          </w:tcPr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Osiguranje imovine i lica 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osiguranje BiH</w:t>
            </w:r>
          </w:p>
          <w:p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Agencija za nadzor osiguranja FBiH</w:t>
            </w:r>
          </w:p>
          <w:p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 parcijalni ispit </w:t>
            </w:r>
          </w:p>
        </w:tc>
        <w:tc>
          <w:tcPr>
            <w:tcW w:w="1250" w:type="dxa"/>
          </w:tcPr>
          <w:p>
            <w:pPr>
              <w:jc w:val="center"/>
              <w:rPr>
                <w:rFonts w:ascii="Arial" w:hAnsi="Arial"/>
                <w:b/>
                <w:bCs/>
              </w:rPr>
            </w:pPr>
          </w:p>
          <w:p>
            <w:pPr>
              <w:jc w:val="center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</w:t>
            </w:r>
          </w:p>
        </w:tc>
      </w:tr>
    </w:tbl>
    <w:p/>
    <w:p/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swiss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Lucida Sans Unicode">
    <w:panose1 w:val="020B0602030504020204"/>
    <w:charset w:val="EE"/>
    <w:family w:val="roman"/>
    <w:pitch w:val="default"/>
    <w:sig w:usb0="80001AFF" w:usb1="0000396B" w:usb2="00000000" w:usb3="00000000" w:csb0="200000BF" w:csb1="D7F7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1256B3"/>
    <w:rsid w:val="14B711DD"/>
    <w:rsid w:val="193C6A3F"/>
    <w:rsid w:val="38093DEC"/>
    <w:rsid w:val="3E4910B3"/>
    <w:rsid w:val="51ED7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Lines="0" w:afterLines="0"/>
    </w:pPr>
    <w:rPr>
      <w:rFonts w:hint="default" w:ascii="Times New Roman" w:hAnsi="Times New Roman" w:eastAsia="Times New Roman" w:cstheme="minorBidi"/>
      <w:sz w:val="24"/>
      <w:lang w:val="hr-HR" w:eastAsia="hr-HR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2018-02-28T00:34:00Z</dcterms:created>
  <dc:creator>Edina</dc:creator>
  <cp:lastModifiedBy>Edina</cp:lastModifiedBy>
  <dcterms:modified xsi:type="dcterms:W3CDTF">2019-03-12T01:39:32Z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