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</w:rPr>
      </w:pPr>
    </w:p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</w:rPr>
      </w:pPr>
      <w:r>
        <w:rPr>
          <w:rFonts w:hint="default" w:ascii="Arial" w:hAnsi="Arial"/>
          <w:b/>
          <w:sz w:val="24"/>
        </w:rPr>
        <w:t>II CIKLUS</w:t>
      </w:r>
    </w:p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</w:rPr>
      </w:pPr>
    </w:p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</w:rPr>
      </w:pPr>
      <w:r>
        <w:rPr>
          <w:rFonts w:hint="default" w:ascii="Arial" w:hAnsi="Arial"/>
          <w:b/>
          <w:sz w:val="24"/>
        </w:rPr>
        <w:t>Izvedbeni plan nastave na obaveznom predmetu</w:t>
      </w:r>
    </w:p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  <w:lang w:val="en-US"/>
        </w:rPr>
      </w:pPr>
      <w:r>
        <w:rPr>
          <w:rFonts w:hint="default" w:ascii="Arial" w:hAnsi="Arial"/>
          <w:b/>
          <w:sz w:val="24"/>
          <w:lang w:val="en-US"/>
        </w:rPr>
        <w:t xml:space="preserve">POREZNO PRAVO I POREZNI SISTEM u II semestru, </w:t>
      </w:r>
    </w:p>
    <w:p>
      <w:pPr>
        <w:spacing w:beforeLines="0" w:afterLines="0" w:line="360" w:lineRule="auto"/>
        <w:jc w:val="center"/>
        <w:rPr>
          <w:rFonts w:hint="default" w:ascii="Arial" w:hAnsi="Arial"/>
          <w:b/>
          <w:sz w:val="24"/>
        </w:rPr>
      </w:pPr>
      <w:r>
        <w:rPr>
          <w:rFonts w:hint="default" w:ascii="Arial" w:hAnsi="Arial"/>
          <w:b/>
          <w:sz w:val="24"/>
        </w:rPr>
        <w:t>na II ciklusu studija u akademskoj 201</w:t>
      </w:r>
      <w:r>
        <w:rPr>
          <w:rFonts w:hint="default" w:ascii="Arial" w:hAnsi="Arial"/>
          <w:b/>
          <w:sz w:val="24"/>
          <w:lang w:val="en-US"/>
        </w:rPr>
        <w:t>8</w:t>
      </w:r>
      <w:r>
        <w:rPr>
          <w:rFonts w:hint="default" w:ascii="Arial" w:hAnsi="Arial"/>
          <w:b/>
          <w:sz w:val="24"/>
        </w:rPr>
        <w:t>/1</w:t>
      </w:r>
      <w:r>
        <w:rPr>
          <w:rFonts w:hint="default" w:ascii="Arial" w:hAnsi="Arial"/>
          <w:b/>
          <w:sz w:val="24"/>
          <w:lang w:val="en-US"/>
        </w:rPr>
        <w:t>9</w:t>
      </w:r>
      <w:r>
        <w:rPr>
          <w:rFonts w:hint="default" w:ascii="Arial" w:hAnsi="Arial"/>
          <w:b/>
          <w:sz w:val="24"/>
        </w:rPr>
        <w:t>. godini</w:t>
      </w:r>
    </w:p>
    <w:p>
      <w:pPr>
        <w:spacing w:beforeLines="0" w:afterLines="0"/>
        <w:rPr>
          <w:rFonts w:hint="default" w:ascii="Arial" w:hAnsi="Arial"/>
          <w:b/>
          <w:sz w:val="24"/>
        </w:rPr>
      </w:pPr>
    </w:p>
    <w:tbl>
      <w:tblPr>
        <w:tblStyle w:val="3"/>
        <w:tblW w:w="9268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05"/>
        <w:gridCol w:w="2805"/>
        <w:gridCol w:w="1050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Broj sedmica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Datum/</w:t>
            </w: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sedmica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Teme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Broj časova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Obaveze studenata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  <w:u w:val="single"/>
              </w:rPr>
            </w:pPr>
            <w:r>
              <w:rPr>
                <w:rFonts w:hint="default" w:ascii="Arial" w:hAnsi="Arial"/>
                <w:b/>
                <w:sz w:val="24"/>
                <w:u w:val="single"/>
              </w:rPr>
              <w:t>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14.3.2019. od 17:00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i/>
                <w:color w:val="808080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Uvodno predavanje, </w:t>
            </w:r>
            <w:r>
              <w:rPr>
                <w:rFonts w:hint="default"/>
                <w:sz w:val="24"/>
                <w:lang w:val="en-US"/>
              </w:rPr>
              <w:t xml:space="preserve">upoznavanje sa </w:t>
            </w:r>
            <w:r>
              <w:rPr>
                <w:rFonts w:hint="default"/>
                <w:sz w:val="24"/>
              </w:rPr>
              <w:t>način</w:t>
            </w:r>
            <w:r>
              <w:rPr>
                <w:rFonts w:hint="default"/>
                <w:sz w:val="24"/>
                <w:lang w:val="en-US"/>
              </w:rPr>
              <w:t>om</w:t>
            </w:r>
            <w:r>
              <w:rPr>
                <w:rFonts w:hint="default"/>
                <w:sz w:val="24"/>
              </w:rPr>
              <w:t xml:space="preserve"> rada, način</w:t>
            </w:r>
            <w:r>
              <w:rPr>
                <w:rFonts w:hint="default"/>
                <w:sz w:val="24"/>
                <w:lang w:val="en-US"/>
              </w:rPr>
              <w:t>om</w:t>
            </w:r>
            <w:r>
              <w:rPr>
                <w:rFonts w:hint="default"/>
                <w:sz w:val="24"/>
              </w:rPr>
              <w:t xml:space="preserve"> ocjenjivanja, nastavnim sadržajem, predmetom izučavanja Poreznog prava i poreznog sistema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808080"/>
                <w:sz w:val="24"/>
              </w:rPr>
            </w:pPr>
            <w:r>
              <w:rPr>
                <w:rFonts w:hint="default" w:ascii="Arial" w:hAnsi="Arial"/>
                <w:b/>
                <w:bCs/>
                <w:i/>
                <w:color w:val="808080"/>
                <w:sz w:val="24"/>
              </w:rPr>
              <w:t xml:space="preserve"> preuzeti relevantnu legislativu –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808080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</w:rPr>
              <w:fldChar w:fldCharType="begin"/>
            </w:r>
            <w:r>
              <w:rPr>
                <w:rFonts w:hint="default"/>
                <w:b/>
                <w:bCs/>
                <w:sz w:val="24"/>
              </w:rPr>
              <w:instrText xml:space="preserve"> HYPERLINK "http://www.pufbih" </w:instrText>
            </w:r>
            <w:r>
              <w:rPr>
                <w:rFonts w:hint="default"/>
                <w:b/>
                <w:bCs/>
                <w:sz w:val="24"/>
              </w:rPr>
              <w:fldChar w:fldCharType="separate"/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t>www.pufbih</w:t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fldChar w:fldCharType="end"/>
            </w:r>
            <w:r>
              <w:rPr>
                <w:rFonts w:hint="default" w:ascii="Arial" w:hAnsi="Arial"/>
                <w:b/>
                <w:bCs/>
                <w:i/>
                <w:color w:val="808080"/>
                <w:sz w:val="24"/>
                <w:lang w:val="en-US"/>
              </w:rPr>
              <w:t xml:space="preserve">, </w:t>
            </w:r>
            <w:r>
              <w:rPr>
                <w:rFonts w:hint="default"/>
                <w:b/>
                <w:bCs/>
                <w:sz w:val="24"/>
              </w:rPr>
              <w:fldChar w:fldCharType="begin"/>
            </w:r>
            <w:r>
              <w:rPr>
                <w:rFonts w:hint="default"/>
                <w:b/>
                <w:bCs/>
                <w:sz w:val="24"/>
              </w:rPr>
              <w:instrText xml:space="preserve"> HYPERLINK "http://www.pufbih.ba/v1/zakoni" </w:instrText>
            </w:r>
            <w:r>
              <w:rPr>
                <w:rFonts w:hint="default"/>
                <w:b/>
                <w:bCs/>
                <w:sz w:val="24"/>
              </w:rPr>
              <w:fldChar w:fldCharType="separate"/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t>http://www.pufbih.ba/v1/zakoni</w:t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fldChar w:fldCharType="end"/>
            </w:r>
            <w:r>
              <w:rPr>
                <w:rFonts w:hint="default" w:ascii="Arial" w:hAnsi="Arial"/>
                <w:b/>
                <w:bCs/>
                <w:i/>
                <w:color w:val="808080"/>
                <w:sz w:val="24"/>
                <w:lang w:val="en-US"/>
              </w:rPr>
              <w:t xml:space="preserve"> 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</w:pPr>
            <w:r>
              <w:rPr>
                <w:rFonts w:hint="default"/>
                <w:b/>
                <w:bCs/>
                <w:sz w:val="24"/>
              </w:rPr>
              <w:fldChar w:fldCharType="begin"/>
            </w:r>
            <w:r>
              <w:rPr>
                <w:rFonts w:hint="default"/>
                <w:b/>
                <w:bCs/>
                <w:sz w:val="24"/>
              </w:rPr>
              <w:instrText xml:space="preserve"> HYPERLINK "http://www.uino.ba" </w:instrText>
            </w:r>
            <w:r>
              <w:rPr>
                <w:rFonts w:hint="default"/>
                <w:b/>
                <w:bCs/>
                <w:sz w:val="24"/>
              </w:rPr>
              <w:fldChar w:fldCharType="separate"/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t>www.uino.gov.ba</w:t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fldChar w:fldCharType="end"/>
            </w:r>
            <w:r>
              <w:rPr>
                <w:rFonts w:hint="default" w:ascii="Arial" w:hAnsi="Arial"/>
                <w:b/>
                <w:bCs/>
                <w:i/>
                <w:color w:val="808080"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sz w:val="24"/>
              </w:rPr>
              <w:fldChar w:fldCharType="begin"/>
            </w:r>
            <w:r>
              <w:rPr>
                <w:rFonts w:hint="default"/>
                <w:b/>
                <w:bCs/>
                <w:sz w:val="24"/>
              </w:rPr>
              <w:instrText xml:space="preserve"> HYPERLINK "http://www.new.uino.gov.ba/bs/PROPISI" </w:instrText>
            </w:r>
            <w:r>
              <w:rPr>
                <w:rFonts w:hint="default"/>
                <w:b/>
                <w:bCs/>
                <w:sz w:val="24"/>
              </w:rPr>
              <w:fldChar w:fldCharType="separate"/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t>http://www.new.uino.gov.ba/bs/PROPISI</w:t>
            </w:r>
            <w:r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  <w:fldChar w:fldCharType="end"/>
            </w:r>
          </w:p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0000FF"/>
                <w:sz w:val="24"/>
                <w:u w:val="single"/>
                <w:lang w:val="en-US"/>
              </w:rPr>
            </w:pPr>
            <w:r>
              <w:rPr>
                <w:rFonts w:hint="default" w:ascii="Arial" w:hAnsi="Arial"/>
                <w:b/>
                <w:bCs/>
                <w:i/>
                <w:color w:val="auto"/>
                <w:sz w:val="24"/>
                <w:u w:val="single"/>
                <w:lang w:val="en-US"/>
              </w:rPr>
              <w:t>Odabir tema seminarskih radova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14.3.2019. od 17:00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Pojam i historijski razvoj poreznog prava</w:t>
            </w:r>
          </w:p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</w:rPr>
            </w:pPr>
            <w:r>
              <w:rPr>
                <w:rFonts w:hint="default"/>
                <w:b/>
                <w:sz w:val="24"/>
              </w:rPr>
              <w:t>etimologija,</w:t>
            </w:r>
            <w:r>
              <w:rPr>
                <w:rFonts w:hint="default"/>
                <w:b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sz w:val="24"/>
              </w:rPr>
              <w:t xml:space="preserve">nastanak i razvoj.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Udžbenik: Glava I i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III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Četvrtak 21.3.2019. od 17:00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Odnos poreznog prava sa drugim granama prava;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Ciljevi oporezivanja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Udžbenik: Glava II, III i 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IV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21.3.2019. od 17:00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Pojam poreza;</w:t>
            </w:r>
          </w:p>
          <w:p>
            <w:pPr>
              <w:spacing w:beforeLines="0" w:afterLines="0"/>
              <w:jc w:val="both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</w:rPr>
              <w:t>Porezni principi;</w:t>
            </w:r>
            <w:r>
              <w:rPr>
                <w:rFonts w:hint="default"/>
                <w:b/>
                <w:sz w:val="24"/>
                <w:lang w:val="en-US"/>
              </w:rPr>
              <w:t xml:space="preserve"> 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Klasifikacija poreza.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Udžbenik: Glava V, VI i VII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V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4.4.2019.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</w:rPr>
              <w:t>Porezna sposobnost</w:t>
            </w:r>
            <w:r>
              <w:rPr>
                <w:rFonts w:hint="default"/>
                <w:b/>
                <w:sz w:val="24"/>
                <w:lang w:val="en-US"/>
              </w:rPr>
              <w:t xml:space="preserve">; </w:t>
            </w:r>
          </w:p>
          <w:p>
            <w:pPr>
              <w:spacing w:beforeLines="0" w:afterLines="0"/>
              <w:jc w:val="both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 xml:space="preserve">Metodi utvrđivanja porezne sposobnosti; 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bCs/>
                <w:i/>
                <w:color w:val="auto"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bCs/>
                <w:i/>
                <w:color w:val="auto"/>
                <w:sz w:val="24"/>
                <w:lang w:val="en-US"/>
              </w:rPr>
              <w:t>Dostavljanje seminarskih radova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Udžbenik: Glava VIII i IX, X, XI, XII,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VI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4.4.2019.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Efekti oporezivanja; Izbjegavanje poreznih obaveza;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Pripreme za semestralnu provjeru znanja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 xml:space="preserve">Udžbenik: Glava XIII i XV; </w:t>
            </w:r>
          </w:p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 xml:space="preserve">XVII i </w:t>
            </w:r>
          </w:p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  <w:u w:val="single"/>
              </w:rPr>
            </w:pPr>
            <w:r>
              <w:rPr>
                <w:rFonts w:hint="default" w:ascii="Arial" w:hAnsi="Arial"/>
                <w:b/>
                <w:sz w:val="24"/>
                <w:u w:val="single"/>
              </w:rPr>
              <w:t>VII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Četvrtak 11.4.2019. od 16:00 do 18:00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 xml:space="preserve">  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sz w:val="24"/>
              </w:rPr>
              <w:t>Porezni sistem i faktori koji utiču na porezne sisteme;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Porezni sistemi savremenih zemalja;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Harmonizacija poreznih sistema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Porezna konkurencija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Jelčić Barbara i Božidar: Porezni sustav i porezna politika, Zagreb: Informator, 1998.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VIII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Četvrtak 11.4.2019. od 18:00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I parcijalni ispit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Udžbenik: Glava XXI</w:t>
            </w:r>
          </w:p>
          <w:p>
            <w:pPr>
              <w:spacing w:beforeLines="0" w:afterLines="0"/>
              <w:rPr>
                <w:rFonts w:hint="default" w:ascii="Arial" w:hAnsi="Arial"/>
                <w:i/>
                <w:color w:val="808080"/>
                <w:sz w:val="24"/>
                <w:lang w:val="en-US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i/>
                <w:color w:val="808080"/>
                <w:sz w:val="24"/>
                <w:lang w:val="en-US"/>
              </w:rPr>
              <w:t>Analiza prezentacije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IX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18.4.2019.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Sistem indirektnog oporezivanja u BiH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Pravni okvir i tok reforme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Uprava za indirektno oporezivanje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Analiza Zakona o sistemu indirektnog oporezivanja, Zakona o upravi za indirektno oporezivanje i drugih zakona iz oblasti indirektnog oporezivanja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X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18.4.2019.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 na dodatnu vrijednost u BiH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Akcize u BiH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Carine u BiH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Putarine u BiH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Jelčić Barbara i Božidar: Porezni sustav i porezna politika, Zagreb: Informator, 1998.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Analiza Zakona o porezu na dodatu vrijednost BiH i Zakona o akcizama BiH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XI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Četvrtak 9.5.2019.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Direktni porezi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 na dohodak u FBiH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Porezna uprava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Jelčić Barbara i Božidar: Porezni sustav i porezna politika, Zagreb: Informator, 1998.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Analiza prezentacije I Zakona o porezu na dohodak FBiH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XII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Četvrtak 9.5.2019.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 xml:space="preserve"> 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 na dobit u FBiH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 na dobit u zemljama regiona; Transferne cijene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Jelčić Barbara i Božidar: Porezni sustav i porezna politika, Zagreb: Informator, 1998.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Analiza Zakona o porezu na dobit FBiH i 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XIII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16.5.2019.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Doprinosi za socijalno osiguranje u BiH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Analiza prezentacije I Zakona o doprinosima za socijalno osiguranje FBiH, Zakona o jedinstvenom sistemu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</w:rPr>
              <w:t>XIV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16.5.2019.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Porez na imovinu u BiH;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Ekološki porezi; Religijski porezi; ostali porezi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Jelčić Barbara i Božidar: Porezni sustav i porezna politika, Zagreb: Informator, 1998.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  <w:bookmarkStart w:id="0" w:name="_GoBack"/>
            <w:bookmarkEnd w:id="0"/>
            <w:r>
              <w:rPr>
                <w:rFonts w:hint="default" w:ascii="Arial" w:hAnsi="Arial"/>
                <w:b/>
                <w:sz w:val="24"/>
                <w:lang w:val="en-US"/>
              </w:rPr>
              <w:t>Analiza prezentacije I Zakona o porezu na imovinu Kantona Sarajevo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  <w:u w:val="single"/>
              </w:rPr>
            </w:pPr>
            <w:r>
              <w:rPr>
                <w:rFonts w:hint="default" w:ascii="Arial" w:hAnsi="Arial"/>
                <w:b/>
                <w:sz w:val="24"/>
                <w:u w:val="single"/>
              </w:rPr>
              <w:t>XV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Četvrtak 23.5.2019. od 16:00 do 20:00 sala PDS</w:t>
            </w:r>
          </w:p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II parcijalni ispit za studente koji su položili I parcijalni ispit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Arial" w:hAnsi="Arial"/>
                <w:b/>
                <w:sz w:val="24"/>
              </w:rPr>
            </w:pPr>
            <w:r>
              <w:rPr>
                <w:rFonts w:hint="default" w:ascii="Arial" w:hAnsi="Arial"/>
                <w:b/>
                <w:sz w:val="24"/>
                <w:lang w:val="en-US"/>
              </w:rPr>
              <w:t>2+0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b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69C4735B"/>
    <w:rsid w:val="7A560A56"/>
    <w:rsid w:val="7DC55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</w:pPr>
    <w:rPr>
      <w:rFonts w:hint="default" w:ascii="Times New Roman" w:hAnsi="Times New Roman" w:eastAsia="Times New Roman" w:cstheme="minorBidi"/>
      <w:sz w:val="24"/>
      <w:lang w:val="hr-HR" w:eastAsia="hr-H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2018-03-02T08:28:00Z</dcterms:created>
  <dc:creator>Edina</dc:creator>
  <cp:lastModifiedBy>Edina</cp:lastModifiedBy>
  <dcterms:modified xsi:type="dcterms:W3CDTF">2019-03-12T03:29:53Z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